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5" w:lineRule="exact"/>
        <w:rPr>
          <w:sz w:val="24"/>
          <w:szCs w:val="24"/>
          <w:color w:val="auto"/>
        </w:rPr>
      </w:pPr>
    </w:p>
    <w:p>
      <w:pPr>
        <w:jc w:val="center"/>
        <w:ind w:right="24"/>
        <w:spacing w:after="0" w:line="788" w:lineRule="exact"/>
        <w:rPr>
          <w:sz w:val="20"/>
          <w:szCs w:val="20"/>
          <w:color w:val="auto"/>
        </w:rPr>
      </w:pPr>
      <w:r>
        <w:rPr>
          <w:rFonts w:ascii="宋体" w:cs="宋体" w:eastAsia="宋体" w:hAnsi="宋体"/>
          <w:sz w:val="69"/>
          <w:szCs w:val="69"/>
          <w:color w:val="auto"/>
        </w:rPr>
        <w:t>信用（合同）管理制度</w:t>
      </w:r>
    </w:p>
    <w:p>
      <w:pPr>
        <w:sectPr>
          <w:pgSz w:w="11900" w:h="16840" w:orient="portrait"/>
          <w:cols w:equalWidth="0" w:num="1">
            <w:col w:w="9024"/>
          </w:cols>
          <w:pgMar w:left="1440" w:top="1440" w:right="1440" w:bottom="144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0" w:lineRule="exact"/>
        <w:rPr>
          <w:sz w:val="24"/>
          <w:szCs w:val="24"/>
          <w:color w:val="auto"/>
        </w:rPr>
      </w:pPr>
    </w:p>
    <w:p>
      <w:pPr>
        <w:jc w:val="center"/>
        <w:ind w:right="24"/>
        <w:spacing w:after="0" w:line="537" w:lineRule="exact"/>
        <w:rPr>
          <w:sz w:val="20"/>
          <w:szCs w:val="20"/>
          <w:color w:val="auto"/>
        </w:rPr>
      </w:pPr>
      <w:r>
        <w:rPr>
          <w:rFonts w:ascii="黑体" w:cs="黑体" w:eastAsia="黑体" w:hAnsi="黑体"/>
          <w:sz w:val="47"/>
          <w:szCs w:val="47"/>
          <w:color w:val="auto"/>
        </w:rPr>
        <w:t>南京固城碳酸钙厂</w:t>
      </w:r>
    </w:p>
    <w:p>
      <w:pPr>
        <w:sectPr>
          <w:pgSz w:w="11900" w:h="16840" w:orient="portrait"/>
          <w:cols w:equalWidth="0" w:num="1">
            <w:col w:w="9024"/>
          </w:cols>
          <w:pgMar w:left="1440" w:top="1440" w:right="1440" w:bottom="1440" w:gutter="0" w:footer="0" w:header="0"/>
          <w:type w:val="continuous"/>
        </w:sectPr>
      </w:pPr>
    </w:p>
    <w:bookmarkStart w:id="1" w:name="page2"/>
    <w:bookmarkEnd w:id="1"/>
    <w:p>
      <w:pPr>
        <w:spacing w:after="0" w:line="20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ind w:right="24"/>
        <w:spacing w:after="0" w:line="411" w:lineRule="exact"/>
        <w:rPr>
          <w:sz w:val="20"/>
          <w:szCs w:val="20"/>
          <w:color w:val="auto"/>
        </w:rPr>
      </w:pPr>
      <w:r>
        <w:rPr>
          <w:rFonts w:ascii="黑体" w:cs="黑体" w:eastAsia="黑体" w:hAnsi="黑体"/>
          <w:sz w:val="36"/>
          <w:szCs w:val="36"/>
          <w:color w:val="auto"/>
        </w:rPr>
        <w:t>企业信用(合同)管理制度</w:t>
      </w:r>
    </w:p>
    <w:p>
      <w:pPr>
        <w:spacing w:after="0" w:line="213" w:lineRule="exact"/>
        <w:rPr>
          <w:sz w:val="20"/>
          <w:szCs w:val="20"/>
          <w:color w:val="auto"/>
        </w:rPr>
      </w:pPr>
    </w:p>
    <w:p>
      <w:pPr>
        <w:jc w:val="center"/>
        <w:ind w:right="24"/>
        <w:spacing w:after="0" w:line="411" w:lineRule="exact"/>
        <w:rPr>
          <w:sz w:val="20"/>
          <w:szCs w:val="20"/>
          <w:color w:val="auto"/>
        </w:rPr>
      </w:pPr>
      <w:r>
        <w:rPr>
          <w:rFonts w:ascii="黑体" w:cs="黑体" w:eastAsia="黑体" w:hAnsi="黑体"/>
          <w:sz w:val="36"/>
          <w:szCs w:val="36"/>
          <w:color w:val="auto"/>
        </w:rPr>
        <w:t>企业信用(合同)管理制度参考样本</w:t>
      </w:r>
    </w:p>
    <w:p>
      <w:pPr>
        <w:spacing w:after="0" w:line="200" w:lineRule="exact"/>
        <w:rPr>
          <w:sz w:val="20"/>
          <w:szCs w:val="20"/>
          <w:color w:val="auto"/>
        </w:rPr>
      </w:pPr>
    </w:p>
    <w:p>
      <w:pPr>
        <w:spacing w:after="0" w:line="348" w:lineRule="exact"/>
        <w:rPr>
          <w:sz w:val="20"/>
          <w:szCs w:val="20"/>
          <w:color w:val="auto"/>
        </w:rPr>
      </w:pPr>
    </w:p>
    <w:p>
      <w:pPr>
        <w:jc w:val="center"/>
        <w:ind w:left="3840"/>
        <w:spacing w:after="0" w:line="366" w:lineRule="exact"/>
        <w:tabs>
          <w:tab w:leader="none" w:pos="300" w:val="left"/>
        </w:tabs>
        <w:rPr>
          <w:sz w:val="20"/>
          <w:szCs w:val="20"/>
          <w:color w:val="auto"/>
        </w:rPr>
      </w:pPr>
      <w:r>
        <w:rPr>
          <w:rFonts w:ascii="宋体" w:cs="宋体" w:eastAsia="宋体" w:hAnsi="宋体"/>
          <w:sz w:val="32"/>
          <w:szCs w:val="32"/>
          <w:color w:val="auto"/>
        </w:rPr>
        <w:t>(目</w:t>
        <w:tab/>
        <w:t>录)</w:t>
      </w:r>
    </w:p>
    <w:p>
      <w:pPr>
        <w:spacing w:after="0" w:line="287"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一、法律法规学习制度</w:t>
      </w:r>
    </w:p>
    <w:p>
      <w:pPr>
        <w:spacing w:after="0" w:line="260" w:lineRule="exact"/>
        <w:rPr>
          <w:sz w:val="20"/>
          <w:szCs w:val="20"/>
          <w:color w:val="auto"/>
        </w:rPr>
      </w:pPr>
    </w:p>
    <w:p>
      <w:pPr>
        <w:ind w:left="560"/>
        <w:spacing w:after="0" w:line="365" w:lineRule="exact"/>
        <w:rPr>
          <w:sz w:val="20"/>
          <w:szCs w:val="20"/>
          <w:color w:val="auto"/>
        </w:rPr>
      </w:pPr>
      <w:r>
        <w:rPr>
          <w:rFonts w:ascii="新宋体" w:cs="新宋体" w:eastAsia="新宋体" w:hAnsi="新宋体"/>
          <w:sz w:val="28"/>
          <w:szCs w:val="28"/>
          <w:color w:val="auto"/>
        </w:rPr>
        <w:t>二、信用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管理机构、人员岗位责任制度</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三、法人授权委托及合同签订前的评审制度</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四、合同签订、履行、变更和解除制度</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五、客户授信与年审评价制度</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六、客户信用档案建立与管理制度</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七、应收账款与商账追收管理制度</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八、失信违法行为责任追究制度</w:t>
      </w:r>
    </w:p>
    <w:p>
      <w:pPr>
        <w:spacing w:after="0" w:line="305" w:lineRule="exact"/>
        <w:rPr>
          <w:sz w:val="20"/>
          <w:szCs w:val="20"/>
          <w:color w:val="auto"/>
        </w:rPr>
      </w:pPr>
    </w:p>
    <w:p>
      <w:pPr>
        <w:spacing w:after="0" w:line="320" w:lineRule="exact"/>
        <w:rPr>
          <w:sz w:val="20"/>
          <w:szCs w:val="20"/>
          <w:color w:val="auto"/>
        </w:rPr>
      </w:pPr>
      <w:r>
        <w:rPr>
          <w:rFonts w:ascii="黑体" w:cs="黑体" w:eastAsia="黑体" w:hAnsi="黑体"/>
          <w:sz w:val="28"/>
          <w:szCs w:val="28"/>
          <w:color w:val="auto"/>
        </w:rPr>
        <w:t>说明：</w:t>
      </w:r>
    </w:p>
    <w:p>
      <w:pPr>
        <w:spacing w:after="0" w:line="273" w:lineRule="exact"/>
        <w:rPr>
          <w:sz w:val="20"/>
          <w:szCs w:val="20"/>
          <w:color w:val="auto"/>
        </w:rPr>
      </w:pPr>
    </w:p>
    <w:p>
      <w:pPr>
        <w:ind w:left="560"/>
        <w:spacing w:after="0" w:line="352" w:lineRule="exact"/>
        <w:rPr>
          <w:sz w:val="20"/>
          <w:szCs w:val="20"/>
          <w:color w:val="auto"/>
        </w:rPr>
      </w:pPr>
      <w:r>
        <w:rPr>
          <w:rFonts w:ascii="新宋体" w:cs="新宋体" w:eastAsia="新宋体" w:hAnsi="新宋体"/>
          <w:sz w:val="27"/>
          <w:szCs w:val="27"/>
          <w:color w:val="auto"/>
        </w:rPr>
        <w:t>样本供企业制订信用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管理制度时参考，企业可结合实际情况细</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化，但基本要点应当具有。信用评估时，要考核制度制订和执行的具体情</w:t>
      </w:r>
    </w:p>
    <w:p>
      <w:pPr>
        <w:spacing w:after="0" w:line="273"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况，并以此确定企业信用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管理水平。企业上报《南京市企业信用评</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估信息表》的同时，上报本厂制订的制度。评估时要仔细检查制度落实情</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况，并要求提供相应的证明资料。</w:t>
      </w:r>
    </w:p>
    <w:p>
      <w:pPr>
        <w:sectPr>
          <w:pgSz w:w="11900" w:h="16840" w:orient="portrait"/>
          <w:cols w:equalWidth="0" w:num="1">
            <w:col w:w="9024"/>
          </w:cols>
          <w:pgMar w:left="1440" w:top="1440" w:right="1440" w:bottom="1440" w:gutter="0" w:footer="0" w:header="0"/>
        </w:sectPr>
      </w:pPr>
    </w:p>
    <w:bookmarkStart w:id="2" w:name="page3"/>
    <w:bookmarkEnd w:id="2"/>
    <w:p>
      <w:pPr>
        <w:spacing w:after="0" w:line="20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200" w:lineRule="exact"/>
        <w:rPr>
          <w:sz w:val="20"/>
          <w:szCs w:val="20"/>
          <w:color w:val="auto"/>
        </w:rPr>
      </w:pPr>
    </w:p>
    <w:p>
      <w:pPr>
        <w:spacing w:after="0" w:line="305" w:lineRule="exact"/>
        <w:rPr>
          <w:sz w:val="20"/>
          <w:szCs w:val="20"/>
          <w:color w:val="auto"/>
        </w:rPr>
      </w:pPr>
    </w:p>
    <w:p>
      <w:pPr>
        <w:jc w:val="center"/>
        <w:ind w:right="100"/>
        <w:spacing w:after="0" w:line="411" w:lineRule="exact"/>
        <w:rPr>
          <w:sz w:val="20"/>
          <w:szCs w:val="20"/>
          <w:color w:val="auto"/>
        </w:rPr>
      </w:pPr>
      <w:r>
        <w:rPr>
          <w:rFonts w:ascii="黑体" w:cs="黑体" w:eastAsia="黑体" w:hAnsi="黑体"/>
          <w:sz w:val="36"/>
          <w:szCs w:val="36"/>
          <w:color w:val="auto"/>
        </w:rPr>
        <w:t>企业信用(合同)管理制度法律法规学习制度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w:t>
      </w:r>
      <w:r>
        <w:rPr>
          <w:rFonts w:ascii="新宋体" w:cs="新宋体" w:eastAsia="新宋体" w:hAnsi="新宋体"/>
          <w:sz w:val="27"/>
          <w:szCs w:val="27"/>
          <w:color w:val="auto"/>
        </w:rPr>
        <w:t>．定期组织合同法律法规的系统学习，制定学法的内容、时间安排计</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划表，组织人员</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学习，并做好每次学习记录。</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．厂长、副厂长、各部门负责人必须带头参加合同法律法规的学习。</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管理人员、销售、供应、财务等部门业务人员必须经过合同法</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规的系统培训和考核，取得合格证书；专、兼职信用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管理员还必须</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取得信用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管理员培训合格证书。</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3</w:t>
      </w:r>
      <w:r>
        <w:rPr>
          <w:rFonts w:ascii="新宋体" w:cs="新宋体" w:eastAsia="新宋体" w:hAnsi="新宋体"/>
          <w:sz w:val="27"/>
          <w:szCs w:val="27"/>
          <w:color w:val="auto"/>
        </w:rPr>
        <w:t>．由副厂长分管信用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工作及信用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管理员，定期组织有关</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人员结合信用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管理中碰到的实际问题，学习新法规，解决新问题。</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组织研讨会，案例分析会等，并做好书面记录。</w:t>
      </w:r>
    </w:p>
    <w:p>
      <w:pPr>
        <w:sectPr>
          <w:pgSz w:w="11900" w:h="16840" w:orient="portrait"/>
          <w:cols w:equalWidth="0" w:num="1">
            <w:col w:w="9100"/>
          </w:cols>
          <w:pgMar w:left="1440" w:top="1440" w:right="1364" w:bottom="1440" w:gutter="0" w:footer="0" w:header="0"/>
        </w:sectPr>
      </w:pPr>
    </w:p>
    <w:bookmarkStart w:id="3" w:name="page4"/>
    <w:bookmarkEnd w:id="3"/>
    <w:p>
      <w:pPr>
        <w:spacing w:after="0" w:line="8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jc w:val="center"/>
        <w:ind w:right="24"/>
        <w:spacing w:after="0" w:line="411" w:lineRule="exact"/>
        <w:rPr>
          <w:sz w:val="20"/>
          <w:szCs w:val="20"/>
          <w:color w:val="auto"/>
        </w:rPr>
      </w:pPr>
      <w:r>
        <w:rPr>
          <w:rFonts w:ascii="黑体" w:cs="黑体" w:eastAsia="黑体" w:hAnsi="黑体"/>
          <w:sz w:val="36"/>
          <w:szCs w:val="36"/>
          <w:color w:val="auto"/>
        </w:rPr>
        <w:t>企业信用(合同)管理制度</w:t>
      </w:r>
    </w:p>
    <w:p>
      <w:pPr>
        <w:spacing w:after="0" w:line="213" w:lineRule="exact"/>
        <w:rPr>
          <w:sz w:val="20"/>
          <w:szCs w:val="20"/>
          <w:color w:val="auto"/>
        </w:rPr>
      </w:pPr>
    </w:p>
    <w:p>
      <w:pPr>
        <w:jc w:val="center"/>
        <w:ind w:right="24"/>
        <w:spacing w:after="0" w:line="411" w:lineRule="exact"/>
        <w:rPr>
          <w:sz w:val="20"/>
          <w:szCs w:val="20"/>
          <w:color w:val="auto"/>
        </w:rPr>
      </w:pPr>
      <w:r>
        <w:rPr>
          <w:rFonts w:ascii="黑体" w:cs="黑体" w:eastAsia="黑体" w:hAnsi="黑体"/>
          <w:sz w:val="36"/>
          <w:szCs w:val="36"/>
          <w:color w:val="auto"/>
        </w:rPr>
        <w:t>信用(合同)管理机构、人员岗位责任制度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60"/>
        <w:spacing w:after="0" w:line="352" w:lineRule="exact"/>
        <w:rPr>
          <w:sz w:val="20"/>
          <w:szCs w:val="20"/>
          <w:color w:val="auto"/>
        </w:rPr>
      </w:pPr>
      <w:r>
        <w:rPr>
          <w:rFonts w:ascii="新宋体" w:cs="新宋体" w:eastAsia="新宋体" w:hAnsi="新宋体"/>
          <w:sz w:val="27"/>
          <w:szCs w:val="27"/>
          <w:color w:val="auto"/>
        </w:rPr>
        <w:t>厂内部设立专门的信用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管理机构，副厂长为信用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w:t>
      </w:r>
    </w:p>
    <w:p>
      <w:pPr>
        <w:spacing w:after="0" w:line="273"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构的分管领导，任命信用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管理机构负责人／经理，有专职</w:t>
      </w:r>
      <w:r>
        <w:rPr>
          <w:rFonts w:ascii="Courier New" w:cs="Courier New" w:eastAsia="Courier New" w:hAnsi="Courier New"/>
          <w:sz w:val="27"/>
          <w:szCs w:val="27"/>
          <w:color w:val="auto"/>
        </w:rPr>
        <w:t>(</w:t>
      </w:r>
      <w:r>
        <w:rPr>
          <w:rFonts w:ascii="新宋体" w:cs="新宋体" w:eastAsia="新宋体" w:hAnsi="新宋体"/>
          <w:sz w:val="27"/>
          <w:szCs w:val="27"/>
          <w:color w:val="auto"/>
        </w:rPr>
        <w:t>或兼职</w:t>
      </w:r>
      <w:r>
        <w:rPr>
          <w:rFonts w:ascii="Courier New" w:cs="Courier New" w:eastAsia="Courier New" w:hAnsi="Courier New"/>
          <w:sz w:val="27"/>
          <w:szCs w:val="27"/>
          <w:color w:val="auto"/>
        </w:rPr>
        <w:t>)</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的信用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管理工作人员。</w:t>
      </w:r>
    </w:p>
    <w:p>
      <w:pPr>
        <w:spacing w:after="0" w:line="305" w:lineRule="exact"/>
        <w:rPr>
          <w:sz w:val="20"/>
          <w:szCs w:val="20"/>
          <w:color w:val="auto"/>
        </w:rPr>
      </w:pPr>
    </w:p>
    <w:p>
      <w:pPr>
        <w:ind w:left="560"/>
        <w:spacing w:after="0" w:line="320" w:lineRule="exact"/>
        <w:rPr>
          <w:sz w:val="20"/>
          <w:szCs w:val="20"/>
          <w:color w:val="auto"/>
        </w:rPr>
      </w:pPr>
      <w:r>
        <w:rPr>
          <w:rFonts w:ascii="黑体" w:cs="黑体" w:eastAsia="黑体" w:hAnsi="黑体"/>
          <w:sz w:val="28"/>
          <w:szCs w:val="28"/>
          <w:color w:val="auto"/>
        </w:rPr>
        <w:t>一、信用(合同)管理机构职能：</w:t>
      </w:r>
    </w:p>
    <w:p>
      <w:pPr>
        <w:spacing w:after="0" w:line="345" w:lineRule="exact"/>
        <w:rPr>
          <w:sz w:val="20"/>
          <w:szCs w:val="20"/>
          <w:color w:val="auto"/>
        </w:rPr>
      </w:pPr>
    </w:p>
    <w:p>
      <w:pPr>
        <w:ind w:right="24" w:firstLine="561"/>
        <w:spacing w:after="0" w:line="451" w:lineRule="exact"/>
        <w:tabs>
          <w:tab w:leader="none" w:pos="981" w:val="left"/>
        </w:tabs>
        <w:numPr>
          <w:ilvl w:val="0"/>
          <w:numId w:val="1"/>
        </w:numPr>
        <w:rPr>
          <w:rFonts w:ascii="Courier New" w:cs="Courier New" w:eastAsia="Courier New" w:hAnsi="Courier New"/>
          <w:sz w:val="28"/>
          <w:szCs w:val="28"/>
          <w:color w:val="auto"/>
        </w:rPr>
      </w:pPr>
      <w:r>
        <w:rPr>
          <w:rFonts w:ascii="新宋体" w:cs="新宋体" w:eastAsia="新宋体" w:hAnsi="新宋体"/>
          <w:sz w:val="28"/>
          <w:szCs w:val="28"/>
          <w:color w:val="auto"/>
        </w:rPr>
        <w:t>组织宣传、贯彻合同法律法规条例，培训信用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管理人员和业务人员，依法保护本企业的合法权益。</w:t>
      </w:r>
    </w:p>
    <w:p>
      <w:pPr>
        <w:spacing w:after="0" w:line="346" w:lineRule="exact"/>
        <w:rPr>
          <w:rFonts w:ascii="Courier New" w:cs="Courier New" w:eastAsia="Courier New" w:hAnsi="Courier New"/>
          <w:sz w:val="28"/>
          <w:szCs w:val="28"/>
          <w:color w:val="auto"/>
        </w:rPr>
      </w:pPr>
    </w:p>
    <w:p>
      <w:pPr>
        <w:ind w:right="24" w:firstLine="561"/>
        <w:spacing w:after="0" w:line="452" w:lineRule="exact"/>
        <w:tabs>
          <w:tab w:leader="none" w:pos="982" w:val="left"/>
        </w:tabs>
        <w:numPr>
          <w:ilvl w:val="0"/>
          <w:numId w:val="1"/>
        </w:numPr>
        <w:rPr>
          <w:rFonts w:ascii="Courier New" w:cs="Courier New" w:eastAsia="Courier New" w:hAnsi="Courier New"/>
          <w:sz w:val="28"/>
          <w:szCs w:val="28"/>
          <w:color w:val="auto"/>
        </w:rPr>
      </w:pPr>
      <w:r>
        <w:rPr>
          <w:rFonts w:ascii="新宋体" w:cs="新宋体" w:eastAsia="新宋体" w:hAnsi="新宋体"/>
          <w:sz w:val="28"/>
          <w:szCs w:val="28"/>
          <w:color w:val="auto"/>
        </w:rPr>
        <w:t>制定、修订本厂信用政策、信用管理制度、办法，组织实施信用管理工作的考核。</w:t>
      </w:r>
    </w:p>
    <w:p>
      <w:pPr>
        <w:spacing w:after="0" w:line="260" w:lineRule="exact"/>
        <w:rPr>
          <w:rFonts w:ascii="Courier New" w:cs="Courier New" w:eastAsia="Courier New" w:hAnsi="Courier New"/>
          <w:sz w:val="28"/>
          <w:szCs w:val="28"/>
          <w:color w:val="auto"/>
        </w:rPr>
      </w:pPr>
    </w:p>
    <w:p>
      <w:pPr>
        <w:ind w:left="980" w:hanging="419"/>
        <w:spacing w:after="0" w:line="365" w:lineRule="exact"/>
        <w:tabs>
          <w:tab w:leader="none" w:pos="980" w:val="left"/>
        </w:tabs>
        <w:numPr>
          <w:ilvl w:val="0"/>
          <w:numId w:val="1"/>
        </w:numPr>
        <w:rPr>
          <w:rFonts w:ascii="Courier New" w:cs="Courier New" w:eastAsia="Courier New" w:hAnsi="Courier New"/>
          <w:sz w:val="28"/>
          <w:szCs w:val="28"/>
          <w:color w:val="auto"/>
        </w:rPr>
      </w:pPr>
      <w:r>
        <w:rPr>
          <w:rFonts w:ascii="新宋体" w:cs="新宋体" w:eastAsia="新宋体" w:hAnsi="新宋体"/>
          <w:sz w:val="28"/>
          <w:szCs w:val="28"/>
          <w:color w:val="auto"/>
        </w:rPr>
        <w:t>对客户进行资信调查，建立客户信用档案，并进行动态化管理。</w:t>
      </w:r>
    </w:p>
    <w:p>
      <w:pPr>
        <w:spacing w:after="0" w:line="344" w:lineRule="exact"/>
        <w:rPr>
          <w:rFonts w:ascii="Courier New" w:cs="Courier New" w:eastAsia="Courier New" w:hAnsi="Courier New"/>
          <w:sz w:val="28"/>
          <w:szCs w:val="28"/>
          <w:color w:val="auto"/>
        </w:rPr>
      </w:pPr>
    </w:p>
    <w:p>
      <w:pPr>
        <w:ind w:right="24" w:firstLine="561"/>
        <w:spacing w:after="0" w:line="452" w:lineRule="exact"/>
        <w:tabs>
          <w:tab w:leader="none" w:pos="982" w:val="left"/>
        </w:tabs>
        <w:numPr>
          <w:ilvl w:val="0"/>
          <w:numId w:val="1"/>
        </w:numPr>
        <w:rPr>
          <w:rFonts w:ascii="Courier New" w:cs="Courier New" w:eastAsia="Courier New" w:hAnsi="Courier New"/>
          <w:sz w:val="28"/>
          <w:szCs w:val="28"/>
          <w:color w:val="auto"/>
        </w:rPr>
      </w:pPr>
      <w:r>
        <w:rPr>
          <w:rFonts w:ascii="新宋体" w:cs="新宋体" w:eastAsia="新宋体" w:hAnsi="新宋体"/>
          <w:sz w:val="28"/>
          <w:szCs w:val="28"/>
          <w:color w:val="auto"/>
        </w:rPr>
        <w:t>客户授信管理：进行客户信用审批，跟踪客户，定期对客户的信用状况进行统计分析。</w:t>
      </w:r>
    </w:p>
    <w:p>
      <w:pPr>
        <w:spacing w:after="0" w:line="345" w:lineRule="exact"/>
        <w:rPr>
          <w:rFonts w:ascii="Courier New" w:cs="Courier New" w:eastAsia="Courier New" w:hAnsi="Courier New"/>
          <w:sz w:val="28"/>
          <w:szCs w:val="28"/>
          <w:color w:val="auto"/>
        </w:rPr>
      </w:pPr>
    </w:p>
    <w:p>
      <w:pPr>
        <w:ind w:right="24" w:firstLine="561"/>
        <w:spacing w:after="0" w:line="452" w:lineRule="exact"/>
        <w:tabs>
          <w:tab w:leader="none" w:pos="982" w:val="left"/>
        </w:tabs>
        <w:numPr>
          <w:ilvl w:val="0"/>
          <w:numId w:val="1"/>
        </w:numPr>
        <w:rPr>
          <w:rFonts w:ascii="Courier New" w:cs="Courier New" w:eastAsia="Courier New" w:hAnsi="Courier New"/>
          <w:sz w:val="28"/>
          <w:szCs w:val="28"/>
          <w:color w:val="auto"/>
        </w:rPr>
      </w:pPr>
      <w:r>
        <w:rPr>
          <w:rFonts w:ascii="新宋体" w:cs="新宋体" w:eastAsia="新宋体" w:hAnsi="新宋体"/>
          <w:sz w:val="28"/>
          <w:szCs w:val="28"/>
          <w:color w:val="auto"/>
        </w:rPr>
        <w:t>应收账款管理：控制应收账款平均持有水平，日常监督应收账款的账龄，对潜在的不良账款及时采取措施，防范逾期应收账款的发生。</w:t>
      </w:r>
    </w:p>
    <w:p>
      <w:pPr>
        <w:spacing w:after="0" w:line="345" w:lineRule="exact"/>
        <w:rPr>
          <w:rFonts w:ascii="Courier New" w:cs="Courier New" w:eastAsia="Courier New" w:hAnsi="Courier New"/>
          <w:sz w:val="28"/>
          <w:szCs w:val="28"/>
          <w:color w:val="auto"/>
        </w:rPr>
      </w:pPr>
    </w:p>
    <w:p>
      <w:pPr>
        <w:ind w:right="24" w:firstLine="561"/>
        <w:spacing w:after="0" w:line="452" w:lineRule="exact"/>
        <w:tabs>
          <w:tab w:leader="none" w:pos="982" w:val="left"/>
        </w:tabs>
        <w:numPr>
          <w:ilvl w:val="0"/>
          <w:numId w:val="1"/>
        </w:numPr>
        <w:rPr>
          <w:rFonts w:ascii="Courier New" w:cs="Courier New" w:eastAsia="Courier New" w:hAnsi="Courier New"/>
          <w:sz w:val="28"/>
          <w:szCs w:val="28"/>
          <w:color w:val="auto"/>
        </w:rPr>
      </w:pPr>
      <w:r>
        <w:rPr>
          <w:rFonts w:ascii="新宋体" w:cs="新宋体" w:eastAsia="新宋体" w:hAnsi="新宋体"/>
          <w:sz w:val="28"/>
          <w:szCs w:val="28"/>
          <w:color w:val="auto"/>
        </w:rPr>
        <w:t>商账处理：建立标准的催账程序和一支工作高效的追账队伍，及时制定对逾期应收账款处理的方案，并组织有效的追账。</w:t>
      </w:r>
    </w:p>
    <w:p>
      <w:pPr>
        <w:spacing w:after="0" w:line="260" w:lineRule="exact"/>
        <w:rPr>
          <w:rFonts w:ascii="Courier New" w:cs="Courier New" w:eastAsia="Courier New" w:hAnsi="Courier New"/>
          <w:sz w:val="28"/>
          <w:szCs w:val="28"/>
          <w:color w:val="auto"/>
        </w:rPr>
      </w:pPr>
    </w:p>
    <w:p>
      <w:pPr>
        <w:ind w:left="980" w:hanging="421"/>
        <w:spacing w:after="0" w:line="365" w:lineRule="exact"/>
        <w:tabs>
          <w:tab w:leader="none" w:pos="980" w:val="left"/>
        </w:tabs>
        <w:numPr>
          <w:ilvl w:val="0"/>
          <w:numId w:val="1"/>
        </w:numPr>
        <w:rPr>
          <w:rFonts w:ascii="Courier New" w:cs="Courier New" w:eastAsia="Courier New" w:hAnsi="Courier New"/>
          <w:sz w:val="28"/>
          <w:szCs w:val="28"/>
          <w:color w:val="auto"/>
        </w:rPr>
      </w:pPr>
      <w:r>
        <w:rPr>
          <w:rFonts w:ascii="新宋体" w:cs="新宋体" w:eastAsia="新宋体" w:hAnsi="新宋体"/>
          <w:sz w:val="28"/>
          <w:szCs w:val="28"/>
          <w:color w:val="auto"/>
        </w:rPr>
        <w:t>利用征信数据库资源，帮助销售部门开拓市场。</w:t>
      </w:r>
    </w:p>
    <w:p>
      <w:pPr>
        <w:spacing w:after="0" w:line="305" w:lineRule="exact"/>
        <w:rPr>
          <w:sz w:val="20"/>
          <w:szCs w:val="20"/>
          <w:color w:val="auto"/>
        </w:rPr>
      </w:pPr>
    </w:p>
    <w:p>
      <w:pPr>
        <w:ind w:left="560"/>
        <w:spacing w:after="0" w:line="320" w:lineRule="exact"/>
        <w:rPr>
          <w:sz w:val="20"/>
          <w:szCs w:val="20"/>
          <w:color w:val="auto"/>
        </w:rPr>
      </w:pPr>
      <w:r>
        <w:rPr>
          <w:rFonts w:ascii="黑体" w:cs="黑体" w:eastAsia="黑体" w:hAnsi="黑体"/>
          <w:sz w:val="28"/>
          <w:szCs w:val="28"/>
          <w:color w:val="auto"/>
        </w:rPr>
        <w:t>二、岗位责任制度：</w:t>
      </w:r>
    </w:p>
    <w:p>
      <w:pPr>
        <w:spacing w:after="0" w:line="260" w:lineRule="exact"/>
        <w:rPr>
          <w:sz w:val="20"/>
          <w:szCs w:val="20"/>
          <w:color w:val="auto"/>
        </w:rPr>
      </w:pPr>
    </w:p>
    <w:p>
      <w:pPr>
        <w:ind w:left="980" w:hanging="421"/>
        <w:spacing w:after="0" w:line="365" w:lineRule="exact"/>
        <w:tabs>
          <w:tab w:leader="none" w:pos="980" w:val="left"/>
        </w:tabs>
        <w:numPr>
          <w:ilvl w:val="0"/>
          <w:numId w:val="2"/>
        </w:numPr>
        <w:rPr>
          <w:rFonts w:ascii="Courier New" w:cs="Courier New" w:eastAsia="Courier New" w:hAnsi="Courier New"/>
          <w:sz w:val="28"/>
          <w:szCs w:val="28"/>
          <w:color w:val="auto"/>
        </w:rPr>
      </w:pPr>
      <w:r>
        <w:rPr>
          <w:rFonts w:ascii="新宋体" w:cs="新宋体" w:eastAsia="新宋体" w:hAnsi="新宋体"/>
          <w:sz w:val="28"/>
          <w:szCs w:val="28"/>
          <w:color w:val="auto"/>
        </w:rPr>
        <w:t>法定代表人的主要职责：</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加强信用管理工作，支持信用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管理机构开展工作，解决信用</w:t>
      </w:r>
    </w:p>
    <w:p>
      <w:pPr>
        <w:sectPr>
          <w:pgSz w:w="11900" w:h="16840" w:orient="portrait"/>
          <w:cols w:equalWidth="0" w:num="1">
            <w:col w:w="9024"/>
          </w:cols>
          <w:pgMar w:left="1440" w:top="1440" w:right="1440" w:bottom="1440" w:gutter="0" w:footer="0" w:header="0"/>
        </w:sectPr>
      </w:pPr>
    </w:p>
    <w:bookmarkStart w:id="4" w:name="page5"/>
    <w:bookmarkEnd w:id="4"/>
    <w:p>
      <w:pPr>
        <w:spacing w:after="0" w:line="13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320" w:lineRule="exact"/>
        <w:rPr>
          <w:sz w:val="20"/>
          <w:szCs w:val="20"/>
          <w:color w:val="auto"/>
        </w:rPr>
      </w:pPr>
      <w:r>
        <w:rPr>
          <w:rFonts w:ascii="新宋体" w:cs="新宋体" w:eastAsia="新宋体" w:hAnsi="新宋体"/>
          <w:sz w:val="28"/>
          <w:szCs w:val="28"/>
          <w:color w:val="auto"/>
        </w:rPr>
        <w:t>管理工作中的重大问题；</w:t>
      </w:r>
    </w:p>
    <w:p>
      <w:pPr>
        <w:spacing w:after="0" w:line="345" w:lineRule="exact"/>
        <w:rPr>
          <w:sz w:val="20"/>
          <w:szCs w:val="20"/>
          <w:color w:val="auto"/>
        </w:rPr>
      </w:pPr>
    </w:p>
    <w:p>
      <w:pPr>
        <w:jc w:val="both"/>
        <w:ind w:left="560" w:right="3424"/>
        <w:spacing w:after="0" w:line="509"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授权委托合同承办人员对外签订合同；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对本厂合同承办人员进行考核、奖惩；</w:t>
      </w:r>
      <w:r>
        <w:rPr>
          <w:rFonts w:ascii="Courier New" w:cs="Courier New" w:eastAsia="Courier New" w:hAnsi="Courier New"/>
          <w:sz w:val="28"/>
          <w:szCs w:val="28"/>
          <w:color w:val="auto"/>
        </w:rPr>
        <w:t>●</w:t>
      </w:r>
      <w:r>
        <w:rPr>
          <w:rFonts w:ascii="新宋体" w:cs="新宋体" w:eastAsia="新宋体" w:hAnsi="新宋体"/>
          <w:sz w:val="28"/>
          <w:szCs w:val="28"/>
          <w:color w:val="auto"/>
        </w:rPr>
        <w:t>定期了解合同的签订、履行情况。</w:t>
      </w:r>
    </w:p>
    <w:p>
      <w:pPr>
        <w:spacing w:after="0" w:line="262"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2</w:t>
      </w: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管理机构负责人的主要职责：</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组织合同法律法规的宣传、培训，组织信用管理研讨会、案例评析</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会；</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制定、修订本厂信用政策、信用管理制度、办法，组织实施信用管</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理工作的考核；</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统一办理授权委托书，严格管理本厂合同专用章的使用；</w:t>
      </w:r>
    </w:p>
    <w:p>
      <w:pPr>
        <w:spacing w:after="0" w:line="260" w:lineRule="exact"/>
        <w:rPr>
          <w:sz w:val="20"/>
          <w:szCs w:val="20"/>
          <w:color w:val="auto"/>
        </w:rPr>
      </w:pPr>
    </w:p>
    <w:p>
      <w:pPr>
        <w:ind w:left="560"/>
        <w:spacing w:after="0" w:line="365" w:lineRule="exact"/>
        <w:tabs>
          <w:tab w:leader="none" w:pos="6420" w:val="left"/>
        </w:tabs>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制止厂内或个人利用合同进行违法活动；</w:t>
      </w:r>
      <w:r>
        <w:rPr>
          <w:sz w:val="20"/>
          <w:szCs w:val="20"/>
          <w:color w:val="auto"/>
        </w:rPr>
        <w:tab/>
      </w:r>
      <w:r>
        <w:rPr>
          <w:rFonts w:ascii="新宋体" w:cs="新宋体" w:eastAsia="新宋体" w:hAnsi="新宋体"/>
          <w:sz w:val="28"/>
          <w:szCs w:val="28"/>
          <w:color w:val="auto"/>
        </w:rPr>
        <w:t>，</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日常监督、分析应收账款的账龄，防范逾期应收账款的发生：</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建立标准的催账程序；</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汇总、分析客户信用数据，向有关部门提供咨询服务；</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协调与供销、财务、技术等部门的关系。</w:t>
      </w:r>
    </w:p>
    <w:p>
      <w:pPr>
        <w:spacing w:after="0" w:line="260" w:lineRule="exact"/>
        <w:rPr>
          <w:sz w:val="20"/>
          <w:szCs w:val="20"/>
          <w:color w:val="auto"/>
        </w:rPr>
      </w:pPr>
    </w:p>
    <w:p>
      <w:pPr>
        <w:ind w:left="1120" w:hanging="419"/>
        <w:spacing w:after="0" w:line="365" w:lineRule="exact"/>
        <w:tabs>
          <w:tab w:leader="none" w:pos="1120" w:val="left"/>
        </w:tabs>
        <w:numPr>
          <w:ilvl w:val="0"/>
          <w:numId w:val="3"/>
        </w:numPr>
        <w:rPr>
          <w:rFonts w:ascii="Courier New" w:cs="Courier New" w:eastAsia="Courier New" w:hAnsi="Courier New"/>
          <w:sz w:val="28"/>
          <w:szCs w:val="28"/>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管理员的主要职责：</w:t>
      </w:r>
    </w:p>
    <w:p>
      <w:pPr>
        <w:spacing w:after="0" w:line="345" w:lineRule="exact"/>
        <w:rPr>
          <w:sz w:val="20"/>
          <w:szCs w:val="20"/>
          <w:color w:val="auto"/>
        </w:rPr>
      </w:pPr>
    </w:p>
    <w:p>
      <w:pPr>
        <w:ind w:left="560" w:right="24"/>
        <w:spacing w:after="0" w:line="508" w:lineRule="exact"/>
        <w:rPr>
          <w:sz w:val="20"/>
          <w:szCs w:val="20"/>
          <w:color w:val="auto"/>
        </w:rPr>
      </w:pPr>
      <w:r>
        <w:rPr>
          <w:rFonts w:ascii="Courier New" w:cs="Courier New" w:eastAsia="Courier New" w:hAnsi="Courier New"/>
          <w:sz w:val="27"/>
          <w:szCs w:val="27"/>
          <w:color w:val="auto"/>
        </w:rPr>
        <w:t>●</w:t>
      </w:r>
      <w:r>
        <w:rPr>
          <w:rFonts w:ascii="新宋体" w:cs="新宋体" w:eastAsia="新宋体" w:hAnsi="新宋体"/>
          <w:sz w:val="27"/>
          <w:szCs w:val="27"/>
          <w:color w:val="auto"/>
        </w:rPr>
        <w:t>协助合同承办人员依法签订合同，参与重大合同的谈判与签订。</w:t>
      </w:r>
      <w:r>
        <w:rPr>
          <w:rFonts w:ascii="Courier New" w:cs="Courier New" w:eastAsia="Courier New" w:hAnsi="Courier New"/>
          <w:sz w:val="27"/>
          <w:szCs w:val="27"/>
          <w:color w:val="auto"/>
        </w:rPr>
        <w:t>●</w:t>
      </w:r>
      <w:r>
        <w:rPr>
          <w:rFonts w:ascii="新宋体" w:cs="新宋体" w:eastAsia="新宋体" w:hAnsi="新宋体"/>
          <w:sz w:val="27"/>
          <w:szCs w:val="27"/>
          <w:color w:val="auto"/>
        </w:rPr>
        <w:t>审查合同，防止不完善或不合法的合同出现，保管好合同专用章。</w:t>
      </w:r>
      <w:r>
        <w:rPr>
          <w:rFonts w:ascii="Courier New" w:cs="Courier New" w:eastAsia="Courier New" w:hAnsi="Courier New"/>
          <w:sz w:val="27"/>
          <w:szCs w:val="27"/>
          <w:color w:val="auto"/>
        </w:rPr>
        <w:t>●</w:t>
      </w:r>
      <w:r>
        <w:rPr>
          <w:rFonts w:ascii="新宋体" w:cs="新宋体" w:eastAsia="新宋体" w:hAnsi="新宋体"/>
          <w:sz w:val="27"/>
          <w:szCs w:val="27"/>
          <w:color w:val="auto"/>
        </w:rPr>
        <w:t>检查合同履行情况，协助合同承办人员处理合同执行中的问题和纠</w:t>
      </w:r>
    </w:p>
    <w:p>
      <w:pPr>
        <w:spacing w:after="0" w:line="309"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纷。</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登记合同台帐，做好合同统计、归档工作，汇总合同签订、履行以</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及合同纠纷处理情况。</w:t>
      </w:r>
    </w:p>
    <w:p>
      <w:pPr>
        <w:sectPr>
          <w:pgSz w:w="11900" w:h="16840" w:orient="portrait"/>
          <w:cols w:equalWidth="0" w:num="1">
            <w:col w:w="9024"/>
          </w:cols>
          <w:pgMar w:left="1440" w:top="1440" w:right="1440" w:bottom="1440" w:gutter="0" w:footer="0" w:header="0"/>
        </w:sectPr>
      </w:pPr>
    </w:p>
    <w:bookmarkStart w:id="5" w:name="page6"/>
    <w:bookmarkEnd w:id="5"/>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发现不符合法律规定的合同行为，及时向信用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管理机构负责</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人或副厂长报告。</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参加对合同纠纷的协商、调解、仲裁、诉讼。</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定期向信用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管理负责人汇报信用管理情况。</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负责客户档案管理与服务。</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参与商账追收。</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配合有关部门共同搞好信用管理工作。</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．供销部门的主要职责：</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依法签订、变更、解除本部门的合同。</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严格审查本部门所签订的合同，重大合同提交有关方面会审。</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对所签合同，认真执行，并定期自查合同履行情况。</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在合同履行过程中，加强与其它各有关部门联系，发生问题及时向</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管理员通报。</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做好本部门合同的登记、统计、归档工作。</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参加本部门合同纠纷的处理。</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配合企业信用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管理机构做好信用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管理工作。</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5</w:t>
      </w:r>
      <w:r>
        <w:rPr>
          <w:rFonts w:ascii="新宋体" w:cs="新宋体" w:eastAsia="新宋体" w:hAnsi="新宋体"/>
          <w:sz w:val="28"/>
          <w:szCs w:val="28"/>
          <w:color w:val="auto"/>
        </w:rPr>
        <w:t>．财务、技术部门的主要职责：</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加强与供销等有关部门的联系，及时通报合同履行中的应收应付情</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况。</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做好与合同有关的应收应付款项的统计、分析，提出处理建议。</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解决合同履行中有关技术方面的问题。</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依法签订、变更、解除技术合同。</w:t>
      </w:r>
    </w:p>
    <w:p>
      <w:pPr>
        <w:sectPr>
          <w:pgSz w:w="11900" w:h="16840" w:orient="portrait"/>
          <w:cols w:equalWidth="0" w:num="1">
            <w:col w:w="9024"/>
          </w:cols>
          <w:pgMar w:left="1440" w:top="1440" w:right="1440" w:bottom="1440" w:gutter="0" w:footer="0" w:header="0"/>
        </w:sectPr>
      </w:pPr>
    </w:p>
    <w:bookmarkStart w:id="6" w:name="page7"/>
    <w:bookmarkEnd w:id="6"/>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本部门合同的登记、统计和归档工作。</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配合企业信用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管理机构做好信用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管理工作。</w:t>
      </w:r>
    </w:p>
    <w:p>
      <w:pPr>
        <w:spacing w:after="0" w:line="305" w:lineRule="exact"/>
        <w:rPr>
          <w:sz w:val="20"/>
          <w:szCs w:val="20"/>
          <w:color w:val="auto"/>
        </w:rPr>
      </w:pPr>
    </w:p>
    <w:p>
      <w:pPr>
        <w:ind w:left="560"/>
        <w:spacing w:after="0" w:line="320" w:lineRule="exact"/>
        <w:rPr>
          <w:sz w:val="20"/>
          <w:szCs w:val="20"/>
          <w:color w:val="auto"/>
        </w:rPr>
      </w:pPr>
      <w:r>
        <w:rPr>
          <w:rFonts w:ascii="黑体" w:cs="黑体" w:eastAsia="黑体" w:hAnsi="黑体"/>
          <w:sz w:val="28"/>
          <w:szCs w:val="28"/>
          <w:color w:val="auto"/>
        </w:rPr>
        <w:t>三、信用(合同)管理员考核与奖励</w:t>
      </w:r>
    </w:p>
    <w:p>
      <w:pPr>
        <w:spacing w:after="0" w:line="260" w:lineRule="exact"/>
        <w:rPr>
          <w:sz w:val="20"/>
          <w:szCs w:val="20"/>
          <w:color w:val="auto"/>
        </w:rPr>
      </w:pPr>
    </w:p>
    <w:p>
      <w:pPr>
        <w:ind w:left="980" w:hanging="419"/>
        <w:spacing w:after="0" w:line="365" w:lineRule="exact"/>
        <w:tabs>
          <w:tab w:leader="none" w:pos="980" w:val="left"/>
        </w:tabs>
        <w:numPr>
          <w:ilvl w:val="0"/>
          <w:numId w:val="4"/>
        </w:numPr>
        <w:rPr>
          <w:rFonts w:ascii="Courier New" w:cs="Courier New" w:eastAsia="Courier New" w:hAnsi="Courier New"/>
          <w:sz w:val="28"/>
          <w:szCs w:val="28"/>
          <w:color w:val="auto"/>
        </w:rPr>
      </w:pPr>
      <w:r>
        <w:rPr>
          <w:rFonts w:ascii="新宋体" w:cs="新宋体" w:eastAsia="新宋体" w:hAnsi="新宋体"/>
          <w:sz w:val="28"/>
          <w:szCs w:val="28"/>
          <w:color w:val="auto"/>
        </w:rPr>
        <w:t>考核范围：本厂专职或兼职信用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．考评时间：厂每年年终组织一次考核评审活动，在对各有关部门信</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管理工作检查基础上进行考核。</w:t>
      </w:r>
    </w:p>
    <w:p>
      <w:pPr>
        <w:spacing w:after="0" w:line="223" w:lineRule="exact"/>
        <w:rPr>
          <w:sz w:val="20"/>
          <w:szCs w:val="20"/>
          <w:color w:val="auto"/>
        </w:rPr>
      </w:pPr>
    </w:p>
    <w:tbl>
      <w:tblPr>
        <w:tblLayout w:type="fixed"/>
        <w:tblInd w:w="30" w:type="dxa"/>
        <w:tblCellMar>
          <w:top w:w="0" w:type="dxa"/>
          <w:left w:w="0" w:type="dxa"/>
          <w:bottom w:w="0" w:type="dxa"/>
          <w:right w:w="0" w:type="dxa"/>
        </w:tblCellMar>
      </w:tblPr>
      <w:tr>
        <w:trPr>
          <w:trHeight w:val="465"/>
        </w:trPr>
        <w:tc>
          <w:tcPr>
            <w:tcW w:w="920" w:type="dxa"/>
            <w:vAlign w:val="bottom"/>
            <w:tcBorders>
              <w:top w:val="single" w:sz="8" w:color="auto"/>
              <w:left w:val="single" w:sz="8" w:color="auto"/>
              <w:right w:val="single" w:sz="8" w:color="auto"/>
            </w:tcBorders>
          </w:tcPr>
          <w:p>
            <w:pPr>
              <w:jc w:val="center"/>
              <w:spacing w:after="0" w:line="320" w:lineRule="exact"/>
              <w:rPr>
                <w:sz w:val="20"/>
                <w:szCs w:val="20"/>
                <w:color w:val="auto"/>
              </w:rPr>
            </w:pPr>
            <w:r>
              <w:rPr>
                <w:rFonts w:ascii="新宋体" w:cs="新宋体" w:eastAsia="新宋体" w:hAnsi="新宋体"/>
                <w:sz w:val="28"/>
                <w:szCs w:val="28"/>
                <w:color w:val="auto"/>
                <w:w w:val="99"/>
              </w:rPr>
              <w:t>序号</w:t>
            </w:r>
          </w:p>
        </w:tc>
        <w:tc>
          <w:tcPr>
            <w:tcW w:w="6920" w:type="dxa"/>
            <w:vAlign w:val="bottom"/>
            <w:tcBorders>
              <w:top w:val="single" w:sz="8" w:color="auto"/>
              <w:right w:val="single" w:sz="8" w:color="auto"/>
            </w:tcBorders>
          </w:tcPr>
          <w:p>
            <w:pPr>
              <w:ind w:left="2460"/>
              <w:spacing w:after="0" w:line="320" w:lineRule="exact"/>
              <w:rPr>
                <w:sz w:val="20"/>
                <w:szCs w:val="20"/>
                <w:color w:val="auto"/>
              </w:rPr>
            </w:pPr>
            <w:r>
              <w:rPr>
                <w:rFonts w:ascii="新宋体" w:cs="新宋体" w:eastAsia="新宋体" w:hAnsi="新宋体"/>
                <w:sz w:val="28"/>
                <w:szCs w:val="28"/>
                <w:color w:val="auto"/>
              </w:rPr>
              <w:t>考  核  内  容</w:t>
            </w:r>
          </w:p>
        </w:tc>
        <w:tc>
          <w:tcPr>
            <w:tcW w:w="60" w:type="dxa"/>
            <w:vAlign w:val="bottom"/>
            <w:tcBorders>
              <w:top w:val="single" w:sz="8" w:color="auto"/>
            </w:tcBorders>
          </w:tcPr>
          <w:p>
            <w:pPr>
              <w:spacing w:after="0"/>
              <w:rPr>
                <w:sz w:val="24"/>
                <w:szCs w:val="24"/>
                <w:color w:val="auto"/>
              </w:rPr>
            </w:pPr>
          </w:p>
        </w:tc>
        <w:tc>
          <w:tcPr>
            <w:tcW w:w="1060" w:type="dxa"/>
            <w:vAlign w:val="bottom"/>
            <w:tcBorders>
              <w:top w:val="single" w:sz="8" w:color="auto"/>
              <w:right w:val="single" w:sz="8" w:color="auto"/>
            </w:tcBorders>
          </w:tcPr>
          <w:p>
            <w:pPr>
              <w:jc w:val="center"/>
              <w:spacing w:after="0" w:line="320" w:lineRule="exact"/>
              <w:rPr>
                <w:sz w:val="20"/>
                <w:szCs w:val="20"/>
                <w:color w:val="auto"/>
              </w:rPr>
            </w:pPr>
            <w:r>
              <w:rPr>
                <w:rFonts w:ascii="新宋体" w:cs="新宋体" w:eastAsia="新宋体" w:hAnsi="新宋体"/>
                <w:sz w:val="28"/>
                <w:szCs w:val="28"/>
                <w:color w:val="auto"/>
                <w:w w:val="99"/>
              </w:rPr>
              <w:t>应得分</w:t>
            </w:r>
          </w:p>
        </w:tc>
        <w:tc>
          <w:tcPr>
            <w:tcW w:w="0" w:type="dxa"/>
            <w:vAlign w:val="bottom"/>
          </w:tcPr>
          <w:p>
            <w:pPr>
              <w:spacing w:after="0"/>
              <w:rPr>
                <w:sz w:val="1"/>
                <w:szCs w:val="1"/>
                <w:color w:val="auto"/>
              </w:rPr>
            </w:pPr>
          </w:p>
        </w:tc>
      </w:tr>
      <w:tr>
        <w:trPr>
          <w:trHeight w:val="173"/>
        </w:trPr>
        <w:tc>
          <w:tcPr>
            <w:tcW w:w="920" w:type="dxa"/>
            <w:vAlign w:val="bottom"/>
            <w:tcBorders>
              <w:left w:val="single" w:sz="8" w:color="auto"/>
              <w:bottom w:val="single" w:sz="8" w:color="auto"/>
              <w:right w:val="single" w:sz="8" w:color="auto"/>
            </w:tcBorders>
          </w:tcPr>
          <w:p>
            <w:pPr>
              <w:spacing w:after="0"/>
              <w:rPr>
                <w:sz w:val="15"/>
                <w:szCs w:val="15"/>
                <w:color w:val="auto"/>
              </w:rPr>
            </w:pPr>
          </w:p>
        </w:tc>
        <w:tc>
          <w:tcPr>
            <w:tcW w:w="6920" w:type="dxa"/>
            <w:vAlign w:val="bottom"/>
            <w:tcBorders>
              <w:bottom w:val="single" w:sz="8" w:color="auto"/>
              <w:right w:val="single" w:sz="8" w:color="auto"/>
            </w:tcBorders>
          </w:tcPr>
          <w:p>
            <w:pPr>
              <w:spacing w:after="0"/>
              <w:rPr>
                <w:sz w:val="15"/>
                <w:szCs w:val="15"/>
                <w:color w:val="auto"/>
              </w:rPr>
            </w:pPr>
          </w:p>
        </w:tc>
        <w:tc>
          <w:tcPr>
            <w:tcW w:w="60" w:type="dxa"/>
            <w:vAlign w:val="bottom"/>
            <w:tcBorders>
              <w:bottom w:val="single" w:sz="8" w:color="auto"/>
            </w:tcBorders>
          </w:tcPr>
          <w:p>
            <w:pPr>
              <w:spacing w:after="0"/>
              <w:rPr>
                <w:sz w:val="15"/>
                <w:szCs w:val="15"/>
                <w:color w:val="auto"/>
              </w:rPr>
            </w:pPr>
          </w:p>
        </w:tc>
        <w:tc>
          <w:tcPr>
            <w:tcW w:w="106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78"/>
        </w:trPr>
        <w:tc>
          <w:tcPr>
            <w:tcW w:w="9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一</w:t>
            </w:r>
          </w:p>
        </w:tc>
        <w:tc>
          <w:tcPr>
            <w:tcW w:w="6920" w:type="dxa"/>
            <w:vAlign w:val="bottom"/>
            <w:tcBorders>
              <w:right w:val="single" w:sz="8" w:color="auto"/>
            </w:tcBorders>
          </w:tcPr>
          <w:p>
            <w:pPr>
              <w:ind w:left="100"/>
              <w:spacing w:after="0" w:line="279" w:lineRule="exact"/>
              <w:rPr>
                <w:sz w:val="20"/>
                <w:szCs w:val="20"/>
                <w:color w:val="auto"/>
              </w:rPr>
            </w:pPr>
            <w:r>
              <w:rPr>
                <w:rFonts w:ascii="Courier New" w:cs="Courier New" w:eastAsia="Courier New" w:hAnsi="Courier New"/>
                <w:sz w:val="24"/>
                <w:szCs w:val="24"/>
                <w:color w:val="auto"/>
              </w:rPr>
              <w:t>1</w:t>
            </w:r>
            <w:r>
              <w:rPr>
                <w:rFonts w:ascii="新宋体" w:cs="新宋体" w:eastAsia="新宋体" w:hAnsi="新宋体"/>
                <w:sz w:val="24"/>
                <w:szCs w:val="24"/>
                <w:color w:val="auto"/>
              </w:rPr>
              <w:t>．掌握合同的有关法律、法规的应知应会基础知识。</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3</w:t>
            </w: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vMerge w:val="continue"/>
          </w:tcPr>
          <w:p>
            <w:pPr>
              <w:spacing w:after="0"/>
              <w:rPr>
                <w:sz w:val="13"/>
                <w:szCs w:val="13"/>
                <w:color w:val="auto"/>
              </w:rPr>
            </w:pPr>
          </w:p>
        </w:tc>
        <w:tc>
          <w:tcPr>
            <w:tcW w:w="6920" w:type="dxa"/>
            <w:vAlign w:val="bottom"/>
            <w:tcBorders>
              <w:right w:val="single" w:sz="8" w:color="auto"/>
            </w:tcBorders>
            <w:vMerge w:val="restart"/>
          </w:tcPr>
          <w:p>
            <w:pPr>
              <w:ind w:left="100"/>
              <w:spacing w:after="0" w:line="313" w:lineRule="exact"/>
              <w:rPr>
                <w:sz w:val="20"/>
                <w:szCs w:val="20"/>
                <w:color w:val="auto"/>
              </w:rPr>
            </w:pPr>
            <w:r>
              <w:rPr>
                <w:rFonts w:ascii="Courier New" w:cs="Courier New" w:eastAsia="Courier New" w:hAnsi="Courier New"/>
                <w:sz w:val="24"/>
                <w:szCs w:val="24"/>
                <w:color w:val="auto"/>
              </w:rPr>
              <w:t>2</w:t>
            </w:r>
            <w:r>
              <w:rPr>
                <w:rFonts w:ascii="新宋体" w:cs="新宋体" w:eastAsia="新宋体" w:hAnsi="新宋体"/>
                <w:sz w:val="24"/>
                <w:szCs w:val="24"/>
                <w:color w:val="auto"/>
              </w:rPr>
              <w:t>．认真参加部门或厂举办的业务和有关法律法规学习。</w:t>
            </w:r>
          </w:p>
        </w:tc>
        <w:tc>
          <w:tcPr>
            <w:tcW w:w="60" w:type="dxa"/>
            <w:vAlign w:val="bottom"/>
          </w:tcPr>
          <w:p>
            <w:pPr>
              <w:spacing w:after="0"/>
              <w:rPr>
                <w:sz w:val="13"/>
                <w:szCs w:val="13"/>
                <w:color w:val="auto"/>
              </w:rPr>
            </w:pPr>
          </w:p>
        </w:tc>
        <w:tc>
          <w:tcPr>
            <w:tcW w:w="1060" w:type="dxa"/>
            <w:vAlign w:val="bottom"/>
            <w:tcBorders>
              <w:right w:val="single" w:sz="8" w:color="auto"/>
            </w:tcBorders>
            <w:vMerge w:val="restart"/>
          </w:tcPr>
          <w:p>
            <w:pPr>
              <w:jc w:val="center"/>
              <w:spacing w:after="0"/>
              <w:rPr>
                <w:sz w:val="20"/>
                <w:szCs w:val="20"/>
                <w:color w:val="auto"/>
              </w:rPr>
            </w:pPr>
            <w:r>
              <w:rPr>
                <w:rFonts w:ascii="Courier New" w:cs="Courier New" w:eastAsia="Courier New" w:hAnsi="Courier New"/>
                <w:sz w:val="24"/>
                <w:szCs w:val="24"/>
                <w:color w:val="auto"/>
                <w:w w:val="82"/>
              </w:rPr>
              <w:t>5</w:t>
            </w: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tcPr>
          <w:p>
            <w:pPr>
              <w:spacing w:after="0"/>
              <w:rPr>
                <w:sz w:val="13"/>
                <w:szCs w:val="13"/>
                <w:color w:val="auto"/>
              </w:rPr>
            </w:pPr>
          </w:p>
        </w:tc>
        <w:tc>
          <w:tcPr>
            <w:tcW w:w="6920" w:type="dxa"/>
            <w:vAlign w:val="bottom"/>
            <w:tcBorders>
              <w:right w:val="single" w:sz="8" w:color="auto"/>
            </w:tcBorders>
            <w:vMerge w:val="continue"/>
          </w:tcPr>
          <w:p>
            <w:pPr>
              <w:spacing w:after="0"/>
              <w:rPr>
                <w:sz w:val="13"/>
                <w:szCs w:val="13"/>
                <w:color w:val="auto"/>
              </w:rPr>
            </w:pPr>
          </w:p>
        </w:tc>
        <w:tc>
          <w:tcPr>
            <w:tcW w:w="60" w:type="dxa"/>
            <w:vAlign w:val="bottom"/>
          </w:tcPr>
          <w:p>
            <w:pPr>
              <w:spacing w:after="0"/>
              <w:rPr>
                <w:sz w:val="13"/>
                <w:szCs w:val="13"/>
                <w:color w:val="auto"/>
              </w:rPr>
            </w:pPr>
          </w:p>
        </w:tc>
        <w:tc>
          <w:tcPr>
            <w:tcW w:w="10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54"/>
        </w:trPr>
        <w:tc>
          <w:tcPr>
            <w:tcW w:w="920" w:type="dxa"/>
            <w:vAlign w:val="bottom"/>
            <w:tcBorders>
              <w:left w:val="single" w:sz="8" w:color="auto"/>
              <w:bottom w:val="single" w:sz="8" w:color="auto"/>
              <w:right w:val="single" w:sz="8" w:color="auto"/>
            </w:tcBorders>
          </w:tcPr>
          <w:p>
            <w:pPr>
              <w:spacing w:after="0"/>
              <w:rPr>
                <w:sz w:val="4"/>
                <w:szCs w:val="4"/>
                <w:color w:val="auto"/>
              </w:rPr>
            </w:pPr>
          </w:p>
        </w:tc>
        <w:tc>
          <w:tcPr>
            <w:tcW w:w="6920" w:type="dxa"/>
            <w:vAlign w:val="bottom"/>
            <w:tcBorders>
              <w:bottom w:val="single" w:sz="8" w:color="auto"/>
              <w:right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0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468"/>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1</w:t>
            </w:r>
            <w:r>
              <w:rPr>
                <w:rFonts w:ascii="新宋体" w:cs="新宋体" w:eastAsia="新宋体" w:hAnsi="新宋体"/>
                <w:sz w:val="24"/>
                <w:szCs w:val="24"/>
                <w:color w:val="auto"/>
              </w:rPr>
              <w:t>．检查所签订合同符合</w:t>
            </w:r>
            <w:r>
              <w:rPr>
                <w:rFonts w:ascii="Courier New" w:cs="Courier New" w:eastAsia="Courier New" w:hAnsi="Courier New"/>
                <w:sz w:val="24"/>
                <w:szCs w:val="24"/>
                <w:color w:val="auto"/>
              </w:rPr>
              <w:t>“</w:t>
            </w:r>
            <w:r>
              <w:rPr>
                <w:rFonts w:ascii="新宋体" w:cs="新宋体" w:eastAsia="新宋体" w:hAnsi="新宋体"/>
                <w:sz w:val="24"/>
                <w:szCs w:val="24"/>
                <w:color w:val="auto"/>
              </w:rPr>
              <w:t>三性</w:t>
            </w:r>
            <w:r>
              <w:rPr>
                <w:rFonts w:ascii="Courier New" w:cs="Courier New" w:eastAsia="Courier New" w:hAnsi="Courier New"/>
                <w:sz w:val="24"/>
                <w:szCs w:val="24"/>
                <w:color w:val="auto"/>
              </w:rPr>
              <w:t>”(</w:t>
            </w:r>
            <w:r>
              <w:rPr>
                <w:rFonts w:ascii="新宋体" w:cs="新宋体" w:eastAsia="新宋体" w:hAnsi="新宋体"/>
                <w:sz w:val="24"/>
                <w:szCs w:val="24"/>
                <w:color w:val="auto"/>
              </w:rPr>
              <w:t>合法性、真实性、可行性</w:t>
            </w:r>
            <w:r>
              <w:rPr>
                <w:rFonts w:ascii="Courier New" w:cs="Courier New" w:eastAsia="Courier New" w:hAnsi="Courier New"/>
                <w:sz w:val="24"/>
                <w:szCs w:val="24"/>
                <w:color w:val="auto"/>
              </w:rPr>
              <w:t>)</w:t>
            </w:r>
            <w:r>
              <w:rPr>
                <w:rFonts w:ascii="新宋体" w:cs="新宋体" w:eastAsia="新宋体" w:hAnsi="新宋体"/>
                <w:sz w:val="24"/>
                <w:szCs w:val="24"/>
                <w:color w:val="auto"/>
              </w:rPr>
              <w:t>。</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3</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2</w:t>
            </w:r>
            <w:r>
              <w:rPr>
                <w:rFonts w:ascii="新宋体" w:cs="新宋体" w:eastAsia="新宋体" w:hAnsi="新宋体"/>
                <w:sz w:val="24"/>
                <w:szCs w:val="24"/>
                <w:color w:val="auto"/>
              </w:rPr>
              <w:t>．检查所签订合同符合</w:t>
            </w:r>
            <w:r>
              <w:rPr>
                <w:rFonts w:ascii="Courier New" w:cs="Courier New" w:eastAsia="Courier New" w:hAnsi="Courier New"/>
                <w:sz w:val="24"/>
                <w:szCs w:val="24"/>
                <w:color w:val="auto"/>
              </w:rPr>
              <w:t>“</w:t>
            </w:r>
            <w:r>
              <w:rPr>
                <w:rFonts w:ascii="新宋体" w:cs="新宋体" w:eastAsia="新宋体" w:hAnsi="新宋体"/>
                <w:sz w:val="24"/>
                <w:szCs w:val="24"/>
                <w:color w:val="auto"/>
              </w:rPr>
              <w:t>五审查</w:t>
            </w:r>
            <w:r>
              <w:rPr>
                <w:rFonts w:ascii="Courier New" w:cs="Courier New" w:eastAsia="Courier New" w:hAnsi="Courier New"/>
                <w:sz w:val="24"/>
                <w:szCs w:val="24"/>
                <w:color w:val="auto"/>
              </w:rPr>
              <w:t>”(</w:t>
            </w:r>
            <w:r>
              <w:rPr>
                <w:rFonts w:ascii="新宋体" w:cs="新宋体" w:eastAsia="新宋体" w:hAnsi="新宋体"/>
                <w:sz w:val="24"/>
                <w:szCs w:val="24"/>
                <w:color w:val="auto"/>
              </w:rPr>
              <w:t>对方主体是否合格，授权代</w:t>
            </w:r>
          </w:p>
        </w:tc>
        <w:tc>
          <w:tcPr>
            <w:tcW w:w="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274" w:lineRule="exact"/>
              <w:rPr>
                <w:sz w:val="20"/>
                <w:szCs w:val="20"/>
                <w:color w:val="auto"/>
              </w:rPr>
            </w:pPr>
            <w:r>
              <w:rPr>
                <w:rFonts w:ascii="新宋体" w:cs="新宋体" w:eastAsia="新宋体" w:hAnsi="新宋体"/>
                <w:sz w:val="24"/>
                <w:szCs w:val="24"/>
                <w:color w:val="auto"/>
              </w:rPr>
              <w:t>理是否合法，资信是否有保证，经营范围是否超出，合同结算方</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3</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新宋体" w:cs="新宋体" w:eastAsia="新宋体" w:hAnsi="新宋体"/>
                <w:sz w:val="24"/>
                <w:szCs w:val="24"/>
                <w:color w:val="auto"/>
              </w:rPr>
              <w:t>法和程序是否符合规定</w:t>
            </w:r>
            <w:r>
              <w:rPr>
                <w:rFonts w:ascii="Courier New" w:cs="Courier New" w:eastAsia="Courier New" w:hAnsi="Courier New"/>
                <w:sz w:val="24"/>
                <w:szCs w:val="24"/>
                <w:color w:val="auto"/>
              </w:rPr>
              <w:t>)</w:t>
            </w:r>
            <w:r>
              <w:rPr>
                <w:rFonts w:ascii="新宋体" w:cs="新宋体" w:eastAsia="新宋体" w:hAnsi="新宋体"/>
                <w:sz w:val="24"/>
                <w:szCs w:val="24"/>
                <w:color w:val="auto"/>
              </w:rPr>
              <w:t>。</w:t>
            </w:r>
          </w:p>
        </w:tc>
        <w:tc>
          <w:tcPr>
            <w:tcW w:w="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二</w:t>
            </w: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3</w:t>
            </w:r>
            <w:r>
              <w:rPr>
                <w:rFonts w:ascii="新宋体" w:cs="新宋体" w:eastAsia="新宋体" w:hAnsi="新宋体"/>
                <w:sz w:val="24"/>
                <w:szCs w:val="24"/>
                <w:color w:val="auto"/>
              </w:rPr>
              <w:t>．检查除即时清结外，是否签订了书面合同。</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3</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w w:val="98"/>
              </w:rPr>
              <w:t>4</w:t>
            </w:r>
            <w:r>
              <w:rPr>
                <w:rFonts w:ascii="新宋体" w:cs="新宋体" w:eastAsia="新宋体" w:hAnsi="新宋体"/>
                <w:sz w:val="24"/>
                <w:szCs w:val="24"/>
                <w:color w:val="auto"/>
                <w:w w:val="98"/>
              </w:rPr>
              <w:t>．检查使用各类合同文本的正确性和合同内容合法、条款齐全、</w:t>
            </w:r>
          </w:p>
        </w:tc>
        <w:tc>
          <w:tcPr>
            <w:tcW w:w="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274" w:lineRule="exact"/>
              <w:rPr>
                <w:sz w:val="20"/>
                <w:szCs w:val="20"/>
                <w:color w:val="auto"/>
              </w:rPr>
            </w:pPr>
            <w:r>
              <w:rPr>
                <w:rFonts w:ascii="新宋体" w:cs="新宋体" w:eastAsia="新宋体" w:hAnsi="新宋体"/>
                <w:sz w:val="24"/>
                <w:szCs w:val="24"/>
                <w:color w:val="auto"/>
              </w:rPr>
              <w:t>手续完备。</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6</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5</w:t>
            </w:r>
            <w:r>
              <w:rPr>
                <w:rFonts w:ascii="新宋体" w:cs="新宋体" w:eastAsia="新宋体" w:hAnsi="新宋体"/>
                <w:sz w:val="24"/>
                <w:szCs w:val="24"/>
                <w:color w:val="auto"/>
              </w:rPr>
              <w:t>．检查签订合同人员的有效代理范围和权限。</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4</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6</w:t>
            </w:r>
            <w:r>
              <w:rPr>
                <w:rFonts w:ascii="新宋体" w:cs="新宋体" w:eastAsia="新宋体" w:hAnsi="新宋体"/>
                <w:sz w:val="24"/>
                <w:szCs w:val="24"/>
                <w:color w:val="auto"/>
              </w:rPr>
              <w:t>．检查杜绝无效合同的出现。</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4</w:t>
            </w:r>
          </w:p>
        </w:tc>
        <w:tc>
          <w:tcPr>
            <w:tcW w:w="0" w:type="dxa"/>
            <w:vAlign w:val="bottom"/>
          </w:tcPr>
          <w:p>
            <w:pPr>
              <w:spacing w:after="0"/>
              <w:rPr>
                <w:sz w:val="1"/>
                <w:szCs w:val="1"/>
                <w:color w:val="auto"/>
              </w:rPr>
            </w:pPr>
          </w:p>
        </w:tc>
      </w:tr>
      <w:tr>
        <w:trPr>
          <w:trHeight w:val="243"/>
        </w:trPr>
        <w:tc>
          <w:tcPr>
            <w:tcW w:w="920" w:type="dxa"/>
            <w:vAlign w:val="bottom"/>
            <w:tcBorders>
              <w:left w:val="single" w:sz="8" w:color="auto"/>
              <w:bottom w:val="single" w:sz="8" w:color="auto"/>
              <w:right w:val="single" w:sz="8" w:color="auto"/>
            </w:tcBorders>
          </w:tcPr>
          <w:p>
            <w:pPr>
              <w:spacing w:after="0"/>
              <w:rPr>
                <w:sz w:val="21"/>
                <w:szCs w:val="21"/>
                <w:color w:val="auto"/>
              </w:rPr>
            </w:pPr>
          </w:p>
        </w:tc>
        <w:tc>
          <w:tcPr>
            <w:tcW w:w="6920" w:type="dxa"/>
            <w:vAlign w:val="bottom"/>
            <w:tcBorders>
              <w:bottom w:val="single" w:sz="8" w:color="auto"/>
              <w:right w:val="single" w:sz="8" w:color="auto"/>
            </w:tcBorders>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1060" w:type="dxa"/>
            <w:vAlign w:val="bottom"/>
            <w:tcBorders>
              <w:bottom w:val="single" w:sz="8" w:color="auto"/>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68"/>
        </w:trPr>
        <w:tc>
          <w:tcPr>
            <w:tcW w:w="920" w:type="dxa"/>
            <w:vAlign w:val="bottom"/>
            <w:tcBorders>
              <w:left w:val="single" w:sz="8" w:color="auto"/>
              <w:right w:val="single" w:sz="8" w:color="auto"/>
            </w:tcBorders>
          </w:tcPr>
          <w:p>
            <w:pPr>
              <w:spacing w:after="0"/>
              <w:rPr>
                <w:sz w:val="23"/>
                <w:szCs w:val="23"/>
                <w:color w:val="auto"/>
              </w:rPr>
            </w:pPr>
          </w:p>
        </w:tc>
        <w:tc>
          <w:tcPr>
            <w:tcW w:w="6920" w:type="dxa"/>
            <w:vAlign w:val="bottom"/>
            <w:tcBorders>
              <w:right w:val="single" w:sz="8" w:color="auto"/>
            </w:tcBorders>
          </w:tcPr>
          <w:p>
            <w:pPr>
              <w:ind w:left="100"/>
              <w:spacing w:after="0" w:line="267" w:lineRule="exact"/>
              <w:rPr>
                <w:sz w:val="20"/>
                <w:szCs w:val="20"/>
                <w:color w:val="auto"/>
              </w:rPr>
            </w:pPr>
            <w:r>
              <w:rPr>
                <w:rFonts w:ascii="Courier New" w:cs="Courier New" w:eastAsia="Courier New" w:hAnsi="Courier New"/>
                <w:sz w:val="24"/>
                <w:szCs w:val="24"/>
                <w:color w:val="auto"/>
              </w:rPr>
              <w:t>1</w:t>
            </w:r>
            <w:r>
              <w:rPr>
                <w:rFonts w:ascii="新宋体" w:cs="新宋体" w:eastAsia="新宋体" w:hAnsi="新宋体"/>
                <w:sz w:val="24"/>
                <w:szCs w:val="24"/>
                <w:color w:val="auto"/>
              </w:rPr>
              <w:t>．检查有关合同审查表的办理和送审，内容是否齐全，手续是</w:t>
            </w:r>
          </w:p>
        </w:tc>
        <w:tc>
          <w:tcPr>
            <w:tcW w:w="60" w:type="dxa"/>
            <w:vAlign w:val="bottom"/>
          </w:tcPr>
          <w:p>
            <w:pPr>
              <w:spacing w:after="0"/>
              <w:rPr>
                <w:sz w:val="23"/>
                <w:szCs w:val="23"/>
                <w:color w:val="auto"/>
              </w:rPr>
            </w:pPr>
          </w:p>
        </w:tc>
        <w:tc>
          <w:tcPr>
            <w:tcW w:w="10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274" w:lineRule="exact"/>
              <w:rPr>
                <w:sz w:val="20"/>
                <w:szCs w:val="20"/>
                <w:color w:val="auto"/>
              </w:rPr>
            </w:pPr>
            <w:r>
              <w:rPr>
                <w:rFonts w:ascii="新宋体" w:cs="新宋体" w:eastAsia="新宋体" w:hAnsi="新宋体"/>
                <w:sz w:val="24"/>
                <w:szCs w:val="24"/>
                <w:color w:val="auto"/>
              </w:rPr>
              <w:t>否完备。</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5</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三</w:t>
            </w: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2</w:t>
            </w:r>
            <w:r>
              <w:rPr>
                <w:rFonts w:ascii="新宋体" w:cs="新宋体" w:eastAsia="新宋体" w:hAnsi="新宋体"/>
                <w:sz w:val="24"/>
                <w:szCs w:val="24"/>
                <w:color w:val="auto"/>
              </w:rPr>
              <w:t>．定期或不定期与业务员对账。</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6</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3</w:t>
            </w:r>
            <w:r>
              <w:rPr>
                <w:rFonts w:ascii="新宋体" w:cs="新宋体" w:eastAsia="新宋体" w:hAnsi="新宋体"/>
                <w:sz w:val="24"/>
                <w:szCs w:val="24"/>
                <w:color w:val="auto"/>
              </w:rPr>
              <w:t>．经常督促合同的履约行为。</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5</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4</w:t>
            </w:r>
            <w:r>
              <w:rPr>
                <w:rFonts w:ascii="新宋体" w:cs="新宋体" w:eastAsia="新宋体" w:hAnsi="新宋体"/>
                <w:sz w:val="24"/>
                <w:szCs w:val="24"/>
                <w:color w:val="auto"/>
              </w:rPr>
              <w:t>．全面了解本部门的合同履行情况。</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6</w:t>
            </w:r>
          </w:p>
        </w:tc>
        <w:tc>
          <w:tcPr>
            <w:tcW w:w="0" w:type="dxa"/>
            <w:vAlign w:val="bottom"/>
          </w:tcPr>
          <w:p>
            <w:pPr>
              <w:spacing w:after="0"/>
              <w:rPr>
                <w:sz w:val="1"/>
                <w:szCs w:val="1"/>
                <w:color w:val="auto"/>
              </w:rPr>
            </w:pPr>
          </w:p>
        </w:tc>
      </w:tr>
      <w:tr>
        <w:trPr>
          <w:trHeight w:val="40"/>
        </w:trPr>
        <w:tc>
          <w:tcPr>
            <w:tcW w:w="920" w:type="dxa"/>
            <w:vAlign w:val="bottom"/>
            <w:tcBorders>
              <w:left w:val="single" w:sz="8" w:color="auto"/>
              <w:bottom w:val="single" w:sz="8" w:color="auto"/>
              <w:right w:val="single" w:sz="8" w:color="auto"/>
            </w:tcBorders>
          </w:tcPr>
          <w:p>
            <w:pPr>
              <w:spacing w:after="0"/>
              <w:rPr>
                <w:sz w:val="3"/>
                <w:szCs w:val="3"/>
                <w:color w:val="auto"/>
              </w:rPr>
            </w:pPr>
          </w:p>
        </w:tc>
        <w:tc>
          <w:tcPr>
            <w:tcW w:w="6920" w:type="dxa"/>
            <w:vAlign w:val="bottom"/>
            <w:tcBorders>
              <w:bottom w:val="single" w:sz="8" w:color="auto"/>
              <w:right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10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458"/>
        </w:trPr>
        <w:tc>
          <w:tcPr>
            <w:tcW w:w="9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四</w:t>
            </w: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1</w:t>
            </w:r>
            <w:r>
              <w:rPr>
                <w:rFonts w:ascii="新宋体" w:cs="新宋体" w:eastAsia="新宋体" w:hAnsi="新宋体"/>
                <w:sz w:val="24"/>
                <w:szCs w:val="24"/>
                <w:color w:val="auto"/>
              </w:rPr>
              <w:t>．检查本部门的合同变更、解除手续的及时办理和手续齐全。</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6</w:t>
            </w: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vMerge w:val="continue"/>
          </w:tcPr>
          <w:p>
            <w:pPr>
              <w:spacing w:after="0"/>
              <w:rPr>
                <w:sz w:val="13"/>
                <w:szCs w:val="13"/>
                <w:color w:val="auto"/>
              </w:rPr>
            </w:pPr>
          </w:p>
        </w:tc>
        <w:tc>
          <w:tcPr>
            <w:tcW w:w="6920" w:type="dxa"/>
            <w:vAlign w:val="bottom"/>
            <w:tcBorders>
              <w:right w:val="single" w:sz="8" w:color="auto"/>
            </w:tcBorders>
            <w:vMerge w:val="restart"/>
          </w:tcPr>
          <w:p>
            <w:pPr>
              <w:ind w:left="100"/>
              <w:spacing w:after="0" w:line="313" w:lineRule="exact"/>
              <w:rPr>
                <w:sz w:val="20"/>
                <w:szCs w:val="20"/>
                <w:color w:val="auto"/>
              </w:rPr>
            </w:pPr>
            <w:r>
              <w:rPr>
                <w:rFonts w:ascii="Courier New" w:cs="Courier New" w:eastAsia="Courier New" w:hAnsi="Courier New"/>
                <w:sz w:val="24"/>
                <w:szCs w:val="24"/>
                <w:color w:val="auto"/>
              </w:rPr>
              <w:t>2</w:t>
            </w:r>
            <w:r>
              <w:rPr>
                <w:rFonts w:ascii="新宋体" w:cs="新宋体" w:eastAsia="新宋体" w:hAnsi="新宋体"/>
                <w:sz w:val="24"/>
                <w:szCs w:val="24"/>
                <w:color w:val="auto"/>
              </w:rPr>
              <w:t>。协助做好信息反馈和信访工作。</w:t>
            </w:r>
          </w:p>
        </w:tc>
        <w:tc>
          <w:tcPr>
            <w:tcW w:w="60" w:type="dxa"/>
            <w:vAlign w:val="bottom"/>
          </w:tcPr>
          <w:p>
            <w:pPr>
              <w:spacing w:after="0"/>
              <w:rPr>
                <w:sz w:val="13"/>
                <w:szCs w:val="13"/>
                <w:color w:val="auto"/>
              </w:rPr>
            </w:pPr>
          </w:p>
        </w:tc>
        <w:tc>
          <w:tcPr>
            <w:tcW w:w="1060" w:type="dxa"/>
            <w:vAlign w:val="bottom"/>
            <w:tcBorders>
              <w:right w:val="single" w:sz="8" w:color="auto"/>
            </w:tcBorders>
            <w:vMerge w:val="restart"/>
          </w:tcPr>
          <w:p>
            <w:pPr>
              <w:jc w:val="center"/>
              <w:spacing w:after="0"/>
              <w:rPr>
                <w:sz w:val="20"/>
                <w:szCs w:val="20"/>
                <w:color w:val="auto"/>
              </w:rPr>
            </w:pPr>
            <w:r>
              <w:rPr>
                <w:rFonts w:ascii="Courier New" w:cs="Courier New" w:eastAsia="Courier New" w:hAnsi="Courier New"/>
                <w:sz w:val="24"/>
                <w:szCs w:val="24"/>
                <w:color w:val="auto"/>
                <w:w w:val="82"/>
              </w:rPr>
              <w:t>4</w:t>
            </w: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tcPr>
          <w:p>
            <w:pPr>
              <w:spacing w:after="0"/>
              <w:rPr>
                <w:sz w:val="13"/>
                <w:szCs w:val="13"/>
                <w:color w:val="auto"/>
              </w:rPr>
            </w:pPr>
          </w:p>
        </w:tc>
        <w:tc>
          <w:tcPr>
            <w:tcW w:w="6920" w:type="dxa"/>
            <w:vAlign w:val="bottom"/>
            <w:tcBorders>
              <w:right w:val="single" w:sz="8" w:color="auto"/>
            </w:tcBorders>
            <w:vMerge w:val="continue"/>
          </w:tcPr>
          <w:p>
            <w:pPr>
              <w:spacing w:after="0"/>
              <w:rPr>
                <w:sz w:val="13"/>
                <w:szCs w:val="13"/>
                <w:color w:val="auto"/>
              </w:rPr>
            </w:pPr>
          </w:p>
        </w:tc>
        <w:tc>
          <w:tcPr>
            <w:tcW w:w="60" w:type="dxa"/>
            <w:vAlign w:val="bottom"/>
          </w:tcPr>
          <w:p>
            <w:pPr>
              <w:spacing w:after="0"/>
              <w:rPr>
                <w:sz w:val="13"/>
                <w:szCs w:val="13"/>
                <w:color w:val="auto"/>
              </w:rPr>
            </w:pPr>
          </w:p>
        </w:tc>
        <w:tc>
          <w:tcPr>
            <w:tcW w:w="10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32"/>
        </w:trPr>
        <w:tc>
          <w:tcPr>
            <w:tcW w:w="920" w:type="dxa"/>
            <w:vAlign w:val="bottom"/>
            <w:tcBorders>
              <w:left w:val="single" w:sz="8" w:color="auto"/>
              <w:bottom w:val="single" w:sz="8" w:color="auto"/>
              <w:right w:val="single" w:sz="8" w:color="auto"/>
            </w:tcBorders>
          </w:tcPr>
          <w:p>
            <w:pPr>
              <w:spacing w:after="0"/>
              <w:rPr>
                <w:sz w:val="20"/>
                <w:szCs w:val="20"/>
                <w:color w:val="auto"/>
              </w:rPr>
            </w:pPr>
          </w:p>
        </w:tc>
        <w:tc>
          <w:tcPr>
            <w:tcW w:w="6920" w:type="dxa"/>
            <w:vAlign w:val="bottom"/>
            <w:tcBorders>
              <w:bottom w:val="single" w:sz="8" w:color="auto"/>
              <w:right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06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329"/>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1</w:t>
            </w:r>
            <w:r>
              <w:rPr>
                <w:rFonts w:ascii="新宋体" w:cs="新宋体" w:eastAsia="新宋体" w:hAnsi="新宋体"/>
                <w:sz w:val="24"/>
                <w:szCs w:val="24"/>
                <w:color w:val="auto"/>
              </w:rPr>
              <w:t>．建立合同台帐。</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6</w:t>
            </w: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五</w:t>
            </w: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2</w:t>
            </w:r>
            <w:r>
              <w:rPr>
                <w:rFonts w:ascii="新宋体" w:cs="新宋体" w:eastAsia="新宋体" w:hAnsi="新宋体"/>
                <w:sz w:val="24"/>
                <w:szCs w:val="24"/>
                <w:color w:val="auto"/>
              </w:rPr>
              <w:t>．检查合同台帐的登记质量</w:t>
            </w:r>
            <w:r>
              <w:rPr>
                <w:rFonts w:ascii="Courier New" w:cs="Courier New" w:eastAsia="Courier New" w:hAnsi="Courier New"/>
                <w:sz w:val="24"/>
                <w:szCs w:val="24"/>
                <w:color w:val="auto"/>
              </w:rPr>
              <w:t>(</w:t>
            </w:r>
            <w:r>
              <w:rPr>
                <w:rFonts w:ascii="新宋体" w:cs="新宋体" w:eastAsia="新宋体" w:hAnsi="新宋体"/>
                <w:sz w:val="24"/>
                <w:szCs w:val="24"/>
                <w:color w:val="auto"/>
              </w:rPr>
              <w:t>台帐登记及时、正确、全面</w:t>
            </w:r>
            <w:r>
              <w:rPr>
                <w:rFonts w:ascii="Courier New" w:cs="Courier New" w:eastAsia="Courier New" w:hAnsi="Courier New"/>
                <w:sz w:val="24"/>
                <w:szCs w:val="24"/>
                <w:color w:val="auto"/>
              </w:rPr>
              <w:t>)</w:t>
            </w:r>
            <w:r>
              <w:rPr>
                <w:rFonts w:ascii="新宋体" w:cs="新宋体" w:eastAsia="新宋体" w:hAnsi="新宋体"/>
                <w:sz w:val="24"/>
                <w:szCs w:val="24"/>
                <w:color w:val="auto"/>
              </w:rPr>
              <w:t>。</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3"/>
              </w:rPr>
              <w:t>10</w:t>
            </w: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vMerge w:val="continue"/>
          </w:tcPr>
          <w:p>
            <w:pPr>
              <w:spacing w:after="0"/>
              <w:rPr>
                <w:sz w:val="13"/>
                <w:szCs w:val="13"/>
                <w:color w:val="auto"/>
              </w:rPr>
            </w:pPr>
          </w:p>
        </w:tc>
        <w:tc>
          <w:tcPr>
            <w:tcW w:w="6920" w:type="dxa"/>
            <w:vAlign w:val="bottom"/>
            <w:tcBorders>
              <w:right w:val="single" w:sz="8" w:color="auto"/>
            </w:tcBorders>
            <w:vMerge w:val="restart"/>
          </w:tcPr>
          <w:p>
            <w:pPr>
              <w:ind w:left="100"/>
              <w:spacing w:after="0" w:line="313" w:lineRule="exact"/>
              <w:rPr>
                <w:sz w:val="20"/>
                <w:szCs w:val="20"/>
                <w:color w:val="auto"/>
              </w:rPr>
            </w:pPr>
            <w:r>
              <w:rPr>
                <w:rFonts w:ascii="Courier New" w:cs="Courier New" w:eastAsia="Courier New" w:hAnsi="Courier New"/>
                <w:sz w:val="24"/>
                <w:szCs w:val="24"/>
                <w:color w:val="auto"/>
              </w:rPr>
              <w:t>3</w:t>
            </w:r>
            <w:r>
              <w:rPr>
                <w:rFonts w:ascii="新宋体" w:cs="新宋体" w:eastAsia="新宋体" w:hAnsi="新宋体"/>
                <w:sz w:val="24"/>
                <w:szCs w:val="24"/>
                <w:color w:val="auto"/>
              </w:rPr>
              <w:t>．检查合同章的使用和保管。</w:t>
            </w:r>
          </w:p>
        </w:tc>
        <w:tc>
          <w:tcPr>
            <w:tcW w:w="60" w:type="dxa"/>
            <w:vAlign w:val="bottom"/>
          </w:tcPr>
          <w:p>
            <w:pPr>
              <w:spacing w:after="0"/>
              <w:rPr>
                <w:sz w:val="13"/>
                <w:szCs w:val="13"/>
                <w:color w:val="auto"/>
              </w:rPr>
            </w:pPr>
          </w:p>
        </w:tc>
        <w:tc>
          <w:tcPr>
            <w:tcW w:w="1060" w:type="dxa"/>
            <w:vAlign w:val="bottom"/>
            <w:tcBorders>
              <w:right w:val="single" w:sz="8" w:color="auto"/>
            </w:tcBorders>
            <w:vMerge w:val="restart"/>
          </w:tcPr>
          <w:p>
            <w:pPr>
              <w:jc w:val="center"/>
              <w:spacing w:after="0"/>
              <w:rPr>
                <w:sz w:val="20"/>
                <w:szCs w:val="20"/>
                <w:color w:val="auto"/>
              </w:rPr>
            </w:pPr>
            <w:r>
              <w:rPr>
                <w:rFonts w:ascii="Courier New" w:cs="Courier New" w:eastAsia="Courier New" w:hAnsi="Courier New"/>
                <w:sz w:val="24"/>
                <w:szCs w:val="24"/>
                <w:color w:val="auto"/>
                <w:w w:val="82"/>
              </w:rPr>
              <w:t>5</w:t>
            </w: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tcPr>
          <w:p>
            <w:pPr>
              <w:spacing w:after="0"/>
              <w:rPr>
                <w:sz w:val="13"/>
                <w:szCs w:val="13"/>
                <w:color w:val="auto"/>
              </w:rPr>
            </w:pPr>
          </w:p>
        </w:tc>
        <w:tc>
          <w:tcPr>
            <w:tcW w:w="6920" w:type="dxa"/>
            <w:vAlign w:val="bottom"/>
            <w:tcBorders>
              <w:right w:val="single" w:sz="8" w:color="auto"/>
            </w:tcBorders>
            <w:vMerge w:val="continue"/>
          </w:tcPr>
          <w:p>
            <w:pPr>
              <w:spacing w:after="0"/>
              <w:rPr>
                <w:sz w:val="13"/>
                <w:szCs w:val="13"/>
                <w:color w:val="auto"/>
              </w:rPr>
            </w:pPr>
          </w:p>
        </w:tc>
        <w:tc>
          <w:tcPr>
            <w:tcW w:w="60" w:type="dxa"/>
            <w:vAlign w:val="bottom"/>
          </w:tcPr>
          <w:p>
            <w:pPr>
              <w:spacing w:after="0"/>
              <w:rPr>
                <w:sz w:val="13"/>
                <w:szCs w:val="13"/>
                <w:color w:val="auto"/>
              </w:rPr>
            </w:pPr>
          </w:p>
        </w:tc>
        <w:tc>
          <w:tcPr>
            <w:tcW w:w="10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312"/>
        </w:trPr>
        <w:tc>
          <w:tcPr>
            <w:tcW w:w="920" w:type="dxa"/>
            <w:vAlign w:val="bottom"/>
            <w:tcBorders>
              <w:left w:val="single" w:sz="8" w:color="auto"/>
              <w:right w:val="single" w:sz="8" w:color="auto"/>
            </w:tcBorders>
          </w:tcPr>
          <w:p>
            <w:pPr>
              <w:spacing w:after="0"/>
              <w:rPr>
                <w:sz w:val="24"/>
                <w:szCs w:val="24"/>
                <w:color w:val="auto"/>
              </w:rPr>
            </w:pPr>
          </w:p>
        </w:tc>
        <w:tc>
          <w:tcPr>
            <w:tcW w:w="6920" w:type="dxa"/>
            <w:vAlign w:val="bottom"/>
            <w:tcBorders>
              <w:right w:val="single" w:sz="8" w:color="auto"/>
            </w:tcBorders>
          </w:tcPr>
          <w:p>
            <w:pPr>
              <w:ind w:left="100"/>
              <w:spacing w:after="0" w:line="313" w:lineRule="exact"/>
              <w:rPr>
                <w:sz w:val="20"/>
                <w:szCs w:val="20"/>
                <w:color w:val="auto"/>
              </w:rPr>
            </w:pPr>
            <w:r>
              <w:rPr>
                <w:rFonts w:ascii="Courier New" w:cs="Courier New" w:eastAsia="Courier New" w:hAnsi="Courier New"/>
                <w:sz w:val="24"/>
                <w:szCs w:val="24"/>
                <w:color w:val="auto"/>
              </w:rPr>
              <w:t>4</w:t>
            </w:r>
            <w:r>
              <w:rPr>
                <w:rFonts w:ascii="新宋体" w:cs="新宋体" w:eastAsia="新宋体" w:hAnsi="新宋体"/>
                <w:sz w:val="24"/>
                <w:szCs w:val="24"/>
                <w:color w:val="auto"/>
              </w:rPr>
              <w:t>．做好有关资料的保管和归档工作。</w:t>
            </w: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6</w:t>
            </w:r>
          </w:p>
        </w:tc>
        <w:tc>
          <w:tcPr>
            <w:tcW w:w="0" w:type="dxa"/>
            <w:vAlign w:val="bottom"/>
          </w:tcPr>
          <w:p>
            <w:pPr>
              <w:spacing w:after="0"/>
              <w:rPr>
                <w:sz w:val="1"/>
                <w:szCs w:val="1"/>
                <w:color w:val="auto"/>
              </w:rPr>
            </w:pPr>
          </w:p>
        </w:tc>
      </w:tr>
      <w:tr>
        <w:trPr>
          <w:trHeight w:val="101"/>
        </w:trPr>
        <w:tc>
          <w:tcPr>
            <w:tcW w:w="920" w:type="dxa"/>
            <w:vAlign w:val="bottom"/>
            <w:tcBorders>
              <w:left w:val="single" w:sz="8" w:color="auto"/>
              <w:bottom w:val="single" w:sz="8" w:color="auto"/>
              <w:right w:val="single" w:sz="8" w:color="auto"/>
            </w:tcBorders>
          </w:tcPr>
          <w:p>
            <w:pPr>
              <w:spacing w:after="0"/>
              <w:rPr>
                <w:sz w:val="8"/>
                <w:szCs w:val="8"/>
                <w:color w:val="auto"/>
              </w:rPr>
            </w:pPr>
          </w:p>
        </w:tc>
        <w:tc>
          <w:tcPr>
            <w:tcW w:w="6920" w:type="dxa"/>
            <w:vAlign w:val="bottom"/>
            <w:tcBorders>
              <w:bottom w:val="single" w:sz="8" w:color="auto"/>
              <w:right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0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94"/>
        </w:trPr>
        <w:tc>
          <w:tcPr>
            <w:tcW w:w="9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六</w:t>
            </w:r>
          </w:p>
        </w:tc>
        <w:tc>
          <w:tcPr>
            <w:tcW w:w="6920" w:type="dxa"/>
            <w:vAlign w:val="bottom"/>
            <w:tcBorders>
              <w:right w:val="single" w:sz="8" w:color="auto"/>
            </w:tcBorders>
          </w:tcPr>
          <w:p>
            <w:pPr>
              <w:ind w:left="340"/>
              <w:spacing w:after="0" w:line="294" w:lineRule="exact"/>
              <w:rPr>
                <w:sz w:val="20"/>
                <w:szCs w:val="20"/>
                <w:color w:val="auto"/>
              </w:rPr>
            </w:pPr>
            <w:r>
              <w:rPr>
                <w:rFonts w:ascii="Courier New" w:cs="Courier New" w:eastAsia="Courier New" w:hAnsi="Courier New"/>
                <w:sz w:val="24"/>
                <w:szCs w:val="24"/>
                <w:color w:val="auto"/>
                <w:w w:val="99"/>
              </w:rPr>
              <w:t>1</w:t>
            </w:r>
            <w:r>
              <w:rPr>
                <w:rFonts w:ascii="新宋体" w:cs="新宋体" w:eastAsia="新宋体" w:hAnsi="新宋体"/>
                <w:sz w:val="24"/>
                <w:szCs w:val="24"/>
                <w:color w:val="auto"/>
                <w:w w:val="99"/>
              </w:rPr>
              <w:t>．在信用</w:t>
            </w:r>
            <w:r>
              <w:rPr>
                <w:rFonts w:ascii="Courier New" w:cs="Courier New" w:eastAsia="Courier New" w:hAnsi="Courier New"/>
                <w:sz w:val="24"/>
                <w:szCs w:val="24"/>
                <w:color w:val="auto"/>
                <w:w w:val="99"/>
              </w:rPr>
              <w:t>(</w:t>
            </w:r>
            <w:r>
              <w:rPr>
                <w:rFonts w:ascii="新宋体" w:cs="新宋体" w:eastAsia="新宋体" w:hAnsi="新宋体"/>
                <w:sz w:val="24"/>
                <w:szCs w:val="24"/>
                <w:color w:val="auto"/>
                <w:w w:val="99"/>
              </w:rPr>
              <w:t>合同</w:t>
            </w:r>
            <w:r>
              <w:rPr>
                <w:rFonts w:ascii="Courier New" w:cs="Courier New" w:eastAsia="Courier New" w:hAnsi="Courier New"/>
                <w:sz w:val="24"/>
                <w:szCs w:val="24"/>
                <w:color w:val="auto"/>
                <w:w w:val="99"/>
              </w:rPr>
              <w:t>)</w:t>
            </w:r>
            <w:r>
              <w:rPr>
                <w:rFonts w:ascii="新宋体" w:cs="新宋体" w:eastAsia="新宋体" w:hAnsi="新宋体"/>
                <w:sz w:val="24"/>
                <w:szCs w:val="24"/>
                <w:color w:val="auto"/>
                <w:w w:val="99"/>
              </w:rPr>
              <w:t>管理上有创新的典型事例</w:t>
            </w:r>
            <w:r>
              <w:rPr>
                <w:rFonts w:ascii="Courier New" w:cs="Courier New" w:eastAsia="Courier New" w:hAnsi="Courier New"/>
                <w:sz w:val="24"/>
                <w:szCs w:val="24"/>
                <w:color w:val="auto"/>
                <w:w w:val="99"/>
              </w:rPr>
              <w:t>(</w:t>
            </w:r>
            <w:r>
              <w:rPr>
                <w:rFonts w:ascii="新宋体" w:cs="新宋体" w:eastAsia="新宋体" w:hAnsi="新宋体"/>
                <w:sz w:val="24"/>
                <w:szCs w:val="24"/>
                <w:color w:val="auto"/>
                <w:w w:val="99"/>
              </w:rPr>
              <w:t>包括运用计算机管</w:t>
            </w:r>
          </w:p>
        </w:tc>
        <w:tc>
          <w:tcPr>
            <w:tcW w:w="60" w:type="dxa"/>
            <w:vAlign w:val="bottom"/>
          </w:tcPr>
          <w:p>
            <w:pPr>
              <w:spacing w:after="0"/>
              <w:rPr>
                <w:sz w:val="24"/>
                <w:szCs w:val="24"/>
                <w:color w:val="auto"/>
              </w:rPr>
            </w:pPr>
          </w:p>
        </w:tc>
        <w:tc>
          <w:tcPr>
            <w:tcW w:w="1060" w:type="dxa"/>
            <w:vAlign w:val="bottom"/>
            <w:tcBorders>
              <w:right w:val="single" w:sz="8" w:color="auto"/>
            </w:tcBorders>
            <w:vMerge w:val="restart"/>
          </w:tcPr>
          <w:p>
            <w:pPr>
              <w:jc w:val="center"/>
              <w:spacing w:after="0"/>
              <w:rPr>
                <w:sz w:val="20"/>
                <w:szCs w:val="20"/>
                <w:color w:val="auto"/>
              </w:rPr>
            </w:pPr>
            <w:r>
              <w:rPr>
                <w:rFonts w:ascii="Courier New" w:cs="Courier New" w:eastAsia="Courier New" w:hAnsi="Courier New"/>
                <w:sz w:val="24"/>
                <w:szCs w:val="24"/>
                <w:color w:val="auto"/>
                <w:w w:val="83"/>
              </w:rPr>
              <w:t>10</w:t>
            </w: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vMerge w:val="continue"/>
          </w:tcPr>
          <w:p>
            <w:pPr>
              <w:spacing w:after="0"/>
              <w:rPr>
                <w:sz w:val="13"/>
                <w:szCs w:val="13"/>
                <w:color w:val="auto"/>
              </w:rPr>
            </w:pPr>
          </w:p>
        </w:tc>
        <w:tc>
          <w:tcPr>
            <w:tcW w:w="6920" w:type="dxa"/>
            <w:vAlign w:val="bottom"/>
            <w:tcBorders>
              <w:right w:val="single" w:sz="8" w:color="auto"/>
            </w:tcBorders>
            <w:vMerge w:val="restart"/>
          </w:tcPr>
          <w:p>
            <w:pPr>
              <w:ind w:left="100"/>
              <w:spacing w:after="0" w:line="313" w:lineRule="exact"/>
              <w:rPr>
                <w:sz w:val="20"/>
                <w:szCs w:val="20"/>
                <w:color w:val="auto"/>
              </w:rPr>
            </w:pPr>
            <w:r>
              <w:rPr>
                <w:rFonts w:ascii="新宋体" w:cs="新宋体" w:eastAsia="新宋体" w:hAnsi="新宋体"/>
                <w:sz w:val="24"/>
                <w:szCs w:val="24"/>
                <w:color w:val="auto"/>
              </w:rPr>
              <w:t>理等事项</w:t>
            </w:r>
            <w:r>
              <w:rPr>
                <w:rFonts w:ascii="Courier New" w:cs="Courier New" w:eastAsia="Courier New" w:hAnsi="Courier New"/>
                <w:sz w:val="24"/>
                <w:szCs w:val="24"/>
                <w:color w:val="auto"/>
              </w:rPr>
              <w:t>)</w:t>
            </w:r>
            <w:r>
              <w:rPr>
                <w:rFonts w:ascii="新宋体" w:cs="新宋体" w:eastAsia="新宋体" w:hAnsi="新宋体"/>
                <w:sz w:val="24"/>
                <w:szCs w:val="24"/>
                <w:color w:val="auto"/>
              </w:rPr>
              <w:t>。</w:t>
            </w:r>
          </w:p>
        </w:tc>
        <w:tc>
          <w:tcPr>
            <w:tcW w:w="60" w:type="dxa"/>
            <w:vAlign w:val="bottom"/>
          </w:tcPr>
          <w:p>
            <w:pPr>
              <w:spacing w:after="0"/>
              <w:rPr>
                <w:sz w:val="13"/>
                <w:szCs w:val="13"/>
                <w:color w:val="auto"/>
              </w:rPr>
            </w:pPr>
          </w:p>
        </w:tc>
        <w:tc>
          <w:tcPr>
            <w:tcW w:w="10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920" w:type="dxa"/>
            <w:vAlign w:val="bottom"/>
            <w:tcBorders>
              <w:left w:val="single" w:sz="8" w:color="auto"/>
              <w:right w:val="single" w:sz="8" w:color="auto"/>
            </w:tcBorders>
          </w:tcPr>
          <w:p>
            <w:pPr>
              <w:spacing w:after="0"/>
              <w:rPr>
                <w:sz w:val="13"/>
                <w:szCs w:val="13"/>
                <w:color w:val="auto"/>
              </w:rPr>
            </w:pPr>
          </w:p>
        </w:tc>
        <w:tc>
          <w:tcPr>
            <w:tcW w:w="6920" w:type="dxa"/>
            <w:vAlign w:val="bottom"/>
            <w:tcBorders>
              <w:right w:val="single" w:sz="8" w:color="auto"/>
            </w:tcBorders>
            <w:vMerge w:val="continue"/>
          </w:tcPr>
          <w:p>
            <w:pPr>
              <w:spacing w:after="0"/>
              <w:rPr>
                <w:sz w:val="13"/>
                <w:szCs w:val="13"/>
                <w:color w:val="auto"/>
              </w:rPr>
            </w:pPr>
          </w:p>
        </w:tc>
        <w:tc>
          <w:tcPr>
            <w:tcW w:w="60" w:type="dxa"/>
            <w:vAlign w:val="bottom"/>
          </w:tcPr>
          <w:p>
            <w:pPr>
              <w:spacing w:after="0"/>
              <w:rPr>
                <w:sz w:val="13"/>
                <w:szCs w:val="13"/>
                <w:color w:val="auto"/>
              </w:rPr>
            </w:pP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9"/>
        </w:trPr>
        <w:tc>
          <w:tcPr>
            <w:tcW w:w="920" w:type="dxa"/>
            <w:vAlign w:val="bottom"/>
            <w:tcBorders>
              <w:left w:val="single" w:sz="8" w:color="auto"/>
              <w:bottom w:val="single" w:sz="8" w:color="auto"/>
              <w:right w:val="single" w:sz="8" w:color="auto"/>
            </w:tcBorders>
          </w:tcPr>
          <w:p>
            <w:pPr>
              <w:spacing w:after="0"/>
              <w:rPr>
                <w:sz w:val="5"/>
                <w:szCs w:val="5"/>
                <w:color w:val="auto"/>
              </w:rPr>
            </w:pPr>
          </w:p>
        </w:tc>
        <w:tc>
          <w:tcPr>
            <w:tcW w:w="6920" w:type="dxa"/>
            <w:vAlign w:val="bottom"/>
            <w:tcBorders>
              <w:bottom w:val="single" w:sz="8" w:color="auto"/>
              <w:right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10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44"/>
        </w:trPr>
        <w:tc>
          <w:tcPr>
            <w:tcW w:w="920" w:type="dxa"/>
            <w:vAlign w:val="bottom"/>
            <w:tcBorders>
              <w:left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合计</w:t>
            </w:r>
          </w:p>
        </w:tc>
        <w:tc>
          <w:tcPr>
            <w:tcW w:w="692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060" w:type="dxa"/>
            <w:vAlign w:val="bottom"/>
            <w:tcBorders>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3"/>
              </w:rPr>
              <w:t>100</w:t>
            </w:r>
          </w:p>
        </w:tc>
        <w:tc>
          <w:tcPr>
            <w:tcW w:w="0" w:type="dxa"/>
            <w:vAlign w:val="bottom"/>
          </w:tcPr>
          <w:p>
            <w:pPr>
              <w:spacing w:after="0"/>
              <w:rPr>
                <w:sz w:val="1"/>
                <w:szCs w:val="1"/>
                <w:color w:val="auto"/>
              </w:rPr>
            </w:pPr>
          </w:p>
        </w:tc>
      </w:tr>
      <w:tr>
        <w:trPr>
          <w:trHeight w:val="218"/>
        </w:trPr>
        <w:tc>
          <w:tcPr>
            <w:tcW w:w="920" w:type="dxa"/>
            <w:vAlign w:val="bottom"/>
            <w:tcBorders>
              <w:left w:val="single" w:sz="8" w:color="auto"/>
              <w:bottom w:val="single" w:sz="8" w:color="auto"/>
              <w:right w:val="single" w:sz="8" w:color="auto"/>
            </w:tcBorders>
          </w:tcPr>
          <w:p>
            <w:pPr>
              <w:spacing w:after="0"/>
              <w:rPr>
                <w:sz w:val="18"/>
                <w:szCs w:val="18"/>
                <w:color w:val="auto"/>
              </w:rPr>
            </w:pPr>
          </w:p>
        </w:tc>
        <w:tc>
          <w:tcPr>
            <w:tcW w:w="6920" w:type="dxa"/>
            <w:vAlign w:val="bottom"/>
            <w:tcBorders>
              <w:bottom w:val="single" w:sz="8" w:color="auto"/>
              <w:right w:val="single" w:sz="8" w:color="auto"/>
            </w:tcBorders>
          </w:tcPr>
          <w:p>
            <w:pPr>
              <w:spacing w:after="0"/>
              <w:rPr>
                <w:sz w:val="18"/>
                <w:szCs w:val="18"/>
                <w:color w:val="auto"/>
              </w:rPr>
            </w:pPr>
          </w:p>
        </w:tc>
        <w:tc>
          <w:tcPr>
            <w:tcW w:w="60" w:type="dxa"/>
            <w:vAlign w:val="bottom"/>
            <w:tcBorders>
              <w:bottom w:val="single" w:sz="8" w:color="auto"/>
            </w:tcBorders>
          </w:tcPr>
          <w:p>
            <w:pPr>
              <w:spacing w:after="0"/>
              <w:rPr>
                <w:sz w:val="18"/>
                <w:szCs w:val="18"/>
                <w:color w:val="auto"/>
              </w:rPr>
            </w:pPr>
          </w:p>
        </w:tc>
        <w:tc>
          <w:tcPr>
            <w:tcW w:w="106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bl>
    <w:p>
      <w:pPr>
        <w:sectPr>
          <w:pgSz w:w="11900" w:h="16840" w:orient="portrait"/>
          <w:cols w:equalWidth="0" w:num="1">
            <w:col w:w="9024"/>
          </w:cols>
          <w:pgMar w:left="1440" w:top="1440" w:right="1440" w:bottom="1117" w:gutter="0" w:footer="0" w:header="0"/>
        </w:sectPr>
      </w:pPr>
    </w:p>
    <w:bookmarkStart w:id="7" w:name="page8"/>
    <w:bookmarkEnd w:id="7"/>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980" w:hanging="420"/>
        <w:spacing w:after="0" w:line="365" w:lineRule="exact"/>
        <w:tabs>
          <w:tab w:leader="none" w:pos="980" w:val="left"/>
        </w:tabs>
        <w:numPr>
          <w:ilvl w:val="0"/>
          <w:numId w:val="5"/>
        </w:numPr>
        <w:rPr>
          <w:rFonts w:ascii="Courier New" w:cs="Courier New" w:eastAsia="Courier New" w:hAnsi="Courier New"/>
          <w:sz w:val="28"/>
          <w:szCs w:val="28"/>
          <w:color w:val="auto"/>
        </w:rPr>
      </w:pPr>
      <w:r>
        <w:rPr>
          <w:rFonts w:ascii="新宋体" w:cs="新宋体" w:eastAsia="新宋体" w:hAnsi="新宋体"/>
          <w:sz w:val="28"/>
          <w:szCs w:val="28"/>
          <w:color w:val="auto"/>
        </w:rPr>
        <w:t>考核部门：</w:t>
      </w:r>
    </w:p>
    <w:p>
      <w:pPr>
        <w:spacing w:after="0" w:line="260" w:lineRule="exact"/>
        <w:rPr>
          <w:sz w:val="20"/>
          <w:szCs w:val="20"/>
          <w:color w:val="auto"/>
        </w:rPr>
      </w:pPr>
    </w:p>
    <w:p>
      <w:pPr>
        <w:ind w:left="560"/>
        <w:spacing w:after="0" w:line="365" w:lineRule="exact"/>
        <w:rPr>
          <w:sz w:val="20"/>
          <w:szCs w:val="20"/>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管理机构为厂信用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管理员的考核评审工作的管理机</w:t>
      </w:r>
    </w:p>
    <w:p>
      <w:pPr>
        <w:spacing w:after="0" w:line="260" w:lineRule="exact"/>
        <w:rPr>
          <w:sz w:val="20"/>
          <w:szCs w:val="20"/>
          <w:color w:val="auto"/>
        </w:rPr>
      </w:pPr>
    </w:p>
    <w:p>
      <w:pPr>
        <w:spacing w:after="0"/>
        <w:tabs>
          <w:tab w:leader="none" w:pos="1100" w:val="left"/>
        </w:tabs>
        <w:rPr>
          <w:sz w:val="20"/>
          <w:szCs w:val="20"/>
          <w:color w:val="auto"/>
        </w:rPr>
      </w:pPr>
      <w:r>
        <w:rPr>
          <w:rFonts w:ascii="新宋体" w:cs="新宋体" w:eastAsia="新宋体" w:hAnsi="新宋体"/>
          <w:sz w:val="28"/>
          <w:szCs w:val="28"/>
          <w:color w:val="auto"/>
        </w:rPr>
        <w:t>构。</w:t>
      </w:r>
      <w:r>
        <w:rPr>
          <w:sz w:val="20"/>
          <w:szCs w:val="20"/>
          <w:color w:val="auto"/>
        </w:rPr>
        <w:tab/>
      </w:r>
      <w:r>
        <w:rPr>
          <w:rFonts w:ascii="Courier New" w:cs="Courier New" w:eastAsia="Courier New" w:hAnsi="Courier New"/>
          <w:sz w:val="28"/>
          <w:szCs w:val="28"/>
          <w:color w:val="auto"/>
        </w:rPr>
        <w:t>·</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获奖名单由考核部门根据考核内容进行考核评审后报法定代表人批</w:t>
      </w:r>
    </w:p>
    <w:p>
      <w:pPr>
        <w:spacing w:after="0" w:line="316" w:lineRule="exact"/>
        <w:rPr>
          <w:sz w:val="20"/>
          <w:szCs w:val="20"/>
          <w:color w:val="auto"/>
        </w:rPr>
      </w:pPr>
    </w:p>
    <w:p>
      <w:pPr>
        <w:spacing w:after="0" w:line="308" w:lineRule="exact"/>
        <w:rPr>
          <w:sz w:val="20"/>
          <w:szCs w:val="20"/>
          <w:color w:val="auto"/>
        </w:rPr>
      </w:pPr>
      <w:r>
        <w:rPr>
          <w:rFonts w:ascii="新宋体" w:cs="新宋体" w:eastAsia="新宋体" w:hAnsi="新宋体"/>
          <w:sz w:val="27"/>
          <w:szCs w:val="27"/>
          <w:color w:val="auto"/>
        </w:rPr>
        <w:t>准。取消资格的审批程序由考核部门将名单及考核依据报法定代表人批准。</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5</w:t>
      </w:r>
      <w:r>
        <w:rPr>
          <w:rFonts w:ascii="新宋体" w:cs="新宋体" w:eastAsia="新宋体" w:hAnsi="新宋体"/>
          <w:sz w:val="28"/>
          <w:szCs w:val="28"/>
          <w:color w:val="auto"/>
        </w:rPr>
        <w:t>．奖惩方法</w:t>
      </w:r>
    </w:p>
    <w:p>
      <w:pPr>
        <w:spacing w:after="0" w:line="260" w:lineRule="exact"/>
        <w:rPr>
          <w:sz w:val="20"/>
          <w:szCs w:val="20"/>
          <w:color w:val="auto"/>
        </w:rPr>
      </w:pPr>
    </w:p>
    <w:p>
      <w:pPr>
        <w:ind w:left="560"/>
        <w:spacing w:after="0" w:line="365" w:lineRule="exact"/>
        <w:rPr>
          <w:sz w:val="20"/>
          <w:szCs w:val="20"/>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管理员的奖励等级设三等：即先进、优胜和表扬；获奖者</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以精神鼓励为主，并分别给予适当的物质鼓励。</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获先进名单从考核总分在</w:t>
      </w:r>
      <w:r>
        <w:rPr>
          <w:rFonts w:ascii="Courier New" w:cs="Courier New" w:eastAsia="Courier New" w:hAnsi="Courier New"/>
          <w:sz w:val="28"/>
          <w:szCs w:val="28"/>
          <w:color w:val="auto"/>
        </w:rPr>
        <w:t xml:space="preserve"> 95 </w:t>
      </w:r>
      <w:r>
        <w:rPr>
          <w:rFonts w:ascii="新宋体" w:cs="新宋体" w:eastAsia="新宋体" w:hAnsi="新宋体"/>
          <w:sz w:val="28"/>
          <w:szCs w:val="28"/>
          <w:color w:val="auto"/>
        </w:rPr>
        <w:t>分以上者中产生；</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获优胜名单从考核总分在</w:t>
      </w:r>
      <w:r>
        <w:rPr>
          <w:rFonts w:ascii="Courier New" w:cs="Courier New" w:eastAsia="Courier New" w:hAnsi="Courier New"/>
          <w:sz w:val="28"/>
          <w:szCs w:val="28"/>
          <w:color w:val="auto"/>
        </w:rPr>
        <w:t xml:space="preserve"> 90—95 </w:t>
      </w:r>
      <w:r>
        <w:rPr>
          <w:rFonts w:ascii="新宋体" w:cs="新宋体" w:eastAsia="新宋体" w:hAnsi="新宋体"/>
          <w:sz w:val="28"/>
          <w:szCs w:val="28"/>
          <w:color w:val="auto"/>
        </w:rPr>
        <w:t>分者中产生；</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获表扬名单从考核总分在</w:t>
      </w:r>
      <w:r>
        <w:rPr>
          <w:rFonts w:ascii="Courier New" w:cs="Courier New" w:eastAsia="Courier New" w:hAnsi="Courier New"/>
          <w:sz w:val="28"/>
          <w:szCs w:val="28"/>
          <w:color w:val="auto"/>
        </w:rPr>
        <w:t xml:space="preserve"> 80—90 </w:t>
      </w:r>
      <w:r>
        <w:rPr>
          <w:rFonts w:ascii="新宋体" w:cs="新宋体" w:eastAsia="新宋体" w:hAnsi="新宋体"/>
          <w:sz w:val="28"/>
          <w:szCs w:val="28"/>
          <w:color w:val="auto"/>
        </w:rPr>
        <w:t>分者中产生；</w:t>
      </w:r>
    </w:p>
    <w:p>
      <w:pPr>
        <w:spacing w:after="0" w:line="260" w:lineRule="exact"/>
        <w:rPr>
          <w:sz w:val="20"/>
          <w:szCs w:val="20"/>
          <w:color w:val="auto"/>
        </w:rPr>
      </w:pPr>
    </w:p>
    <w:p>
      <w:pPr>
        <w:ind w:left="560"/>
        <w:spacing w:after="0" w:line="365" w:lineRule="exact"/>
        <w:rPr>
          <w:sz w:val="20"/>
          <w:szCs w:val="20"/>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管理员的惩处方法：</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w:t>
      </w:r>
      <w:r>
        <w:rPr>
          <w:rFonts w:ascii="新宋体" w:cs="新宋体" w:eastAsia="新宋体" w:hAnsi="新宋体"/>
          <w:sz w:val="27"/>
          <w:szCs w:val="27"/>
          <w:color w:val="auto"/>
        </w:rPr>
        <w:t>凡考核总分首次达不到</w:t>
      </w:r>
      <w:r>
        <w:rPr>
          <w:rFonts w:ascii="Courier New" w:cs="Courier New" w:eastAsia="Courier New" w:hAnsi="Courier New"/>
          <w:sz w:val="27"/>
          <w:szCs w:val="27"/>
          <w:color w:val="auto"/>
        </w:rPr>
        <w:t xml:space="preserve"> 60 </w:t>
      </w:r>
      <w:r>
        <w:rPr>
          <w:rFonts w:ascii="新宋体" w:cs="新宋体" w:eastAsia="新宋体" w:hAnsi="新宋体"/>
          <w:sz w:val="27"/>
          <w:szCs w:val="27"/>
          <w:color w:val="auto"/>
        </w:rPr>
        <w:t>分者，由部门分别给予教育、帮助和扣发</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奖金；</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凡考核总分两次达不到</w:t>
      </w:r>
      <w:r>
        <w:rPr>
          <w:rFonts w:ascii="Courier New" w:cs="Courier New" w:eastAsia="Courier New" w:hAnsi="Courier New"/>
          <w:sz w:val="28"/>
          <w:szCs w:val="28"/>
          <w:color w:val="auto"/>
        </w:rPr>
        <w:t xml:space="preserve"> 60 </w:t>
      </w:r>
      <w:r>
        <w:rPr>
          <w:rFonts w:ascii="新宋体" w:cs="新宋体" w:eastAsia="新宋体" w:hAnsi="新宋体"/>
          <w:sz w:val="28"/>
          <w:szCs w:val="28"/>
          <w:color w:val="auto"/>
        </w:rPr>
        <w:t>分者，取消信用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管理员资格；</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凡利用合同从事违法违纪活动者，取消信用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管理员资格并按</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情节轻重，追究其行政或法律责任。</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ind w:right="140"/>
        <w:spacing w:after="0" w:line="411" w:lineRule="exact"/>
        <w:rPr>
          <w:sz w:val="20"/>
          <w:szCs w:val="20"/>
          <w:color w:val="auto"/>
        </w:rPr>
      </w:pPr>
      <w:r>
        <w:rPr>
          <w:rFonts w:ascii="黑体" w:cs="黑体" w:eastAsia="黑体" w:hAnsi="黑体"/>
          <w:sz w:val="36"/>
          <w:szCs w:val="36"/>
          <w:color w:val="auto"/>
        </w:rPr>
        <w:t>企业信用（合同）管理制度</w:t>
      </w:r>
    </w:p>
    <w:p>
      <w:pPr>
        <w:sectPr>
          <w:pgSz w:w="11900" w:h="16840" w:orient="portrait"/>
          <w:cols w:equalWidth="0" w:num="1">
            <w:col w:w="9140"/>
          </w:cols>
          <w:pgMar w:left="1440" w:top="1440" w:right="1324" w:bottom="1024" w:gutter="0" w:footer="0" w:header="0"/>
        </w:sectPr>
      </w:pPr>
    </w:p>
    <w:bookmarkStart w:id="8" w:name="page9"/>
    <w:bookmarkEnd w:id="8"/>
    <w:p>
      <w:pPr>
        <w:spacing w:after="0" w:line="8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jc w:val="center"/>
        <w:ind w:right="140"/>
        <w:spacing w:after="0" w:line="411" w:lineRule="exact"/>
        <w:rPr>
          <w:sz w:val="20"/>
          <w:szCs w:val="20"/>
          <w:color w:val="auto"/>
        </w:rPr>
      </w:pPr>
      <w:r>
        <w:rPr>
          <w:rFonts w:ascii="黑体" w:cs="黑体" w:eastAsia="黑体" w:hAnsi="黑体"/>
          <w:sz w:val="36"/>
          <w:szCs w:val="36"/>
          <w:color w:val="auto"/>
        </w:rPr>
        <w:t>法人授权委托及合同签订前的评审制度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560"/>
        <w:spacing w:after="0" w:line="320" w:lineRule="exact"/>
        <w:rPr>
          <w:sz w:val="20"/>
          <w:szCs w:val="20"/>
          <w:color w:val="auto"/>
        </w:rPr>
      </w:pPr>
      <w:r>
        <w:rPr>
          <w:rFonts w:ascii="黑体" w:cs="黑体" w:eastAsia="黑体" w:hAnsi="黑体"/>
          <w:sz w:val="28"/>
          <w:szCs w:val="28"/>
          <w:color w:val="auto"/>
        </w:rPr>
        <w:t>一、法人授权委托管理制度</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一</w:t>
      </w:r>
      <w:r>
        <w:rPr>
          <w:rFonts w:ascii="Courier New" w:cs="Courier New" w:eastAsia="Courier New" w:hAnsi="Courier New"/>
          <w:sz w:val="28"/>
          <w:szCs w:val="28"/>
          <w:color w:val="auto"/>
        </w:rPr>
        <w:t>)</w:t>
      </w:r>
      <w:r>
        <w:rPr>
          <w:rFonts w:ascii="新宋体" w:cs="新宋体" w:eastAsia="新宋体" w:hAnsi="新宋体"/>
          <w:sz w:val="28"/>
          <w:szCs w:val="28"/>
          <w:color w:val="auto"/>
        </w:rPr>
        <w:t>被授予</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者的条件</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1</w:t>
      </w:r>
      <w:r>
        <w:rPr>
          <w:rFonts w:ascii="新宋体" w:cs="新宋体" w:eastAsia="新宋体" w:hAnsi="新宋体"/>
          <w:sz w:val="28"/>
          <w:szCs w:val="28"/>
          <w:color w:val="auto"/>
        </w:rPr>
        <w:t>．必须是本厂生产经营活动中确需签订合同，并具有经济工作经验的</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有关人员。</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2</w:t>
      </w:r>
      <w:r>
        <w:rPr>
          <w:rFonts w:ascii="新宋体" w:cs="新宋体" w:eastAsia="新宋体" w:hAnsi="新宋体"/>
          <w:sz w:val="28"/>
          <w:szCs w:val="28"/>
          <w:color w:val="auto"/>
        </w:rPr>
        <w:t>．必须经过《中华人民共和国合同法》培训，考试合格，并经工作业</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绩审查合格者。</w:t>
      </w:r>
    </w:p>
    <w:p>
      <w:pPr>
        <w:spacing w:after="0" w:line="260" w:lineRule="exact"/>
        <w:rPr>
          <w:sz w:val="20"/>
          <w:szCs w:val="20"/>
          <w:color w:val="auto"/>
        </w:rPr>
      </w:pPr>
    </w:p>
    <w:p>
      <w:pPr>
        <w:ind w:left="980" w:hanging="421"/>
        <w:spacing w:after="0" w:line="365" w:lineRule="exact"/>
        <w:tabs>
          <w:tab w:leader="none" w:pos="980" w:val="left"/>
        </w:tabs>
        <w:numPr>
          <w:ilvl w:val="0"/>
          <w:numId w:val="6"/>
        </w:numPr>
        <w:rPr>
          <w:rFonts w:ascii="Courier New" w:cs="Courier New" w:eastAsia="Courier New" w:hAnsi="Courier New"/>
          <w:sz w:val="28"/>
          <w:szCs w:val="28"/>
          <w:color w:val="auto"/>
        </w:rPr>
      </w:pPr>
      <w:r>
        <w:rPr>
          <w:rFonts w:ascii="新宋体" w:cs="新宋体" w:eastAsia="新宋体" w:hAnsi="新宋体"/>
          <w:sz w:val="28"/>
          <w:szCs w:val="28"/>
          <w:color w:val="auto"/>
        </w:rPr>
        <w:t>能够遵纪守法，执行好国家各项法令、法规和本企业的规章制度。</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二</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的申请程序</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w:t>
      </w:r>
      <w:r>
        <w:rPr>
          <w:rFonts w:ascii="新宋体" w:cs="新宋体" w:eastAsia="新宋体" w:hAnsi="新宋体"/>
          <w:sz w:val="27"/>
          <w:szCs w:val="27"/>
          <w:color w:val="auto"/>
        </w:rPr>
        <w:t>．凡申请持证者，先由申请部门向信用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管理机构提出申请，填</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写</w:t>
      </w:r>
      <w:r>
        <w:rPr>
          <w:rFonts w:ascii="Courier New" w:cs="Courier New" w:eastAsia="Courier New" w:hAnsi="Courier New"/>
          <w:sz w:val="28"/>
          <w:szCs w:val="28"/>
          <w:color w:val="auto"/>
        </w:rPr>
        <w:t>“</w:t>
      </w:r>
      <w:r>
        <w:rPr>
          <w:rFonts w:ascii="新宋体" w:cs="新宋体" w:eastAsia="新宋体" w:hAnsi="新宋体"/>
          <w:sz w:val="28"/>
          <w:szCs w:val="28"/>
          <w:color w:val="auto"/>
        </w:rPr>
        <w:t>参加《合同法》培训人员登记表</w:t>
      </w:r>
      <w:r>
        <w:rPr>
          <w:rFonts w:ascii="Courier New" w:cs="Courier New" w:eastAsia="Courier New" w:hAnsi="Courier New"/>
          <w:sz w:val="28"/>
          <w:szCs w:val="28"/>
          <w:color w:val="auto"/>
        </w:rPr>
        <w:t>”</w:t>
      </w:r>
      <w:r>
        <w:rPr>
          <w:rFonts w:ascii="新宋体" w:cs="新宋体" w:eastAsia="新宋体" w:hAnsi="新宋体"/>
          <w:sz w:val="28"/>
          <w:szCs w:val="28"/>
          <w:color w:val="auto"/>
        </w:rPr>
        <w:t>。</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．由信用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管理机构统一组织申请持证者参加土商行政管理部门</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举办的《合同法》培训班，并参加考试。</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3</w:t>
      </w:r>
      <w:r>
        <w:rPr>
          <w:rFonts w:ascii="新宋体" w:cs="新宋体" w:eastAsia="新宋体" w:hAnsi="新宋体"/>
          <w:sz w:val="28"/>
          <w:szCs w:val="28"/>
          <w:color w:val="auto"/>
        </w:rPr>
        <w:t>．考试合格后，申请部门按信用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管理机构要求填写</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w:t>
      </w:r>
    </w:p>
    <w:p>
      <w:pPr>
        <w:spacing w:after="0" w:line="273"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书申请审批表</w:t>
      </w:r>
      <w:r>
        <w:rPr>
          <w:rFonts w:ascii="Courier New" w:cs="Courier New" w:eastAsia="Courier New" w:hAnsi="Courier New"/>
          <w:sz w:val="27"/>
          <w:szCs w:val="27"/>
          <w:color w:val="auto"/>
        </w:rPr>
        <w:t>”</w:t>
      </w:r>
      <w:r>
        <w:rPr>
          <w:rFonts w:ascii="新宋体" w:cs="新宋体" w:eastAsia="新宋体" w:hAnsi="新宋体"/>
          <w:sz w:val="27"/>
          <w:szCs w:val="27"/>
          <w:color w:val="auto"/>
        </w:rPr>
        <w:t>，并对其工作业绩进行考核审查，再经厂人事部门和信用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管理机构审核后报厂法定代表人批准，签章颁发授权证书。</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三</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的管理</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1</w:t>
      </w: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管理机构负责</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的申请审核、证件办理，</w:t>
      </w:r>
    </w:p>
    <w:p>
      <w:pPr>
        <w:spacing w:after="0" w:line="316" w:lineRule="exact"/>
        <w:rPr>
          <w:sz w:val="20"/>
          <w:szCs w:val="20"/>
          <w:color w:val="auto"/>
        </w:rPr>
      </w:pPr>
    </w:p>
    <w:p>
      <w:pPr>
        <w:spacing w:after="0" w:line="308" w:lineRule="exact"/>
        <w:rPr>
          <w:sz w:val="20"/>
          <w:szCs w:val="20"/>
          <w:color w:val="auto"/>
        </w:rPr>
      </w:pPr>
      <w:r>
        <w:rPr>
          <w:rFonts w:ascii="新宋体" w:cs="新宋体" w:eastAsia="新宋体" w:hAnsi="新宋体"/>
          <w:sz w:val="27"/>
          <w:szCs w:val="27"/>
          <w:color w:val="auto"/>
        </w:rPr>
        <w:t>变更、注销登记、遗失声明和监督检查等管理工作，并为厂归口管理部门。</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2</w:t>
      </w:r>
      <w:r>
        <w:rPr>
          <w:rFonts w:ascii="新宋体" w:cs="新宋体" w:eastAsia="新宋体" w:hAnsi="新宋体"/>
          <w:sz w:val="28"/>
          <w:szCs w:val="28"/>
          <w:color w:val="auto"/>
        </w:rPr>
        <w:t>．本厂颁发的签订合同的</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，采用由省工商行政管理局</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统一印制的</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文本，在有效期限内可连续使用，但有效期限</w:t>
      </w:r>
    </w:p>
    <w:p>
      <w:pPr>
        <w:sectPr>
          <w:pgSz w:w="11900" w:h="16840" w:orient="portrait"/>
          <w:cols w:equalWidth="0" w:num="1">
            <w:col w:w="9140"/>
          </w:cols>
          <w:pgMar w:left="1440" w:top="1440" w:right="1324" w:bottom="1440" w:gutter="0" w:footer="0" w:header="0"/>
        </w:sectPr>
      </w:pPr>
    </w:p>
    <w:bookmarkStart w:id="9" w:name="page10"/>
    <w:bookmarkEnd w:id="9"/>
    <w:p>
      <w:pPr>
        <w:spacing w:after="0" w:line="13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320" w:lineRule="exact"/>
        <w:rPr>
          <w:sz w:val="20"/>
          <w:szCs w:val="20"/>
          <w:color w:val="auto"/>
        </w:rPr>
      </w:pPr>
      <w:r>
        <w:rPr>
          <w:rFonts w:ascii="新宋体" w:cs="新宋体" w:eastAsia="新宋体" w:hAnsi="新宋体"/>
          <w:sz w:val="28"/>
          <w:szCs w:val="28"/>
          <w:color w:val="auto"/>
        </w:rPr>
        <w:t>最长不得超过两年。</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3</w:t>
      </w:r>
      <w:r>
        <w:rPr>
          <w:rFonts w:ascii="新宋体" w:cs="新宋体" w:eastAsia="新宋体" w:hAnsi="新宋体"/>
          <w:sz w:val="28"/>
          <w:szCs w:val="28"/>
          <w:color w:val="auto"/>
        </w:rPr>
        <w:t>．凡不持有</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因特殊情况需对外签约者，由所在部门向</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管理机构提出申请，经法定代表人批准，由信用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构具体办理一事一委托的临时</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法人委托证明</w:t>
      </w:r>
      <w:r>
        <w:rPr>
          <w:rFonts w:ascii="Courier New" w:cs="Courier New" w:eastAsia="Courier New" w:hAnsi="Courier New"/>
          <w:sz w:val="28"/>
          <w:szCs w:val="28"/>
          <w:color w:val="auto"/>
        </w:rPr>
        <w:t>”</w:t>
      </w:r>
      <w:r>
        <w:rPr>
          <w:rFonts w:ascii="新宋体" w:cs="新宋体" w:eastAsia="新宋体" w:hAnsi="新宋体"/>
          <w:sz w:val="28"/>
          <w:szCs w:val="28"/>
          <w:color w:val="auto"/>
        </w:rPr>
        <w:t>事宜；未取得</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书</w:t>
      </w:r>
      <w:r>
        <w:rPr>
          <w:rFonts w:ascii="Courier New" w:cs="Courier New" w:eastAsia="Courier New" w:hAnsi="Courier New"/>
          <w:sz w:val="28"/>
          <w:szCs w:val="28"/>
          <w:color w:val="auto"/>
        </w:rPr>
        <w:t>”</w:t>
      </w:r>
      <w:r>
        <w:rPr>
          <w:rFonts w:ascii="新宋体" w:cs="新宋体" w:eastAsia="新宋体" w:hAnsi="新宋体"/>
          <w:sz w:val="28"/>
          <w:szCs w:val="28"/>
          <w:color w:val="auto"/>
        </w:rPr>
        <w:t>及</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法人委托证明</w:t>
      </w:r>
      <w:r>
        <w:rPr>
          <w:rFonts w:ascii="Courier New" w:cs="Courier New" w:eastAsia="Courier New" w:hAnsi="Courier New"/>
          <w:sz w:val="28"/>
          <w:szCs w:val="28"/>
          <w:color w:val="auto"/>
        </w:rPr>
        <w:t>”</w:t>
      </w:r>
      <w:r>
        <w:rPr>
          <w:rFonts w:ascii="新宋体" w:cs="新宋体" w:eastAsia="新宋体" w:hAnsi="新宋体"/>
          <w:sz w:val="28"/>
          <w:szCs w:val="28"/>
          <w:color w:val="auto"/>
        </w:rPr>
        <w:t>的其他人员一律不得对外签订合同。</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．凡持有</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对外签订合同者，必须严格遵守本厂制定的</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管理规定和相关的配套制度，做好合同台帐记录，以备考查。</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5</w:t>
      </w:r>
      <w:r>
        <w:rPr>
          <w:rFonts w:ascii="新宋体" w:cs="新宋体" w:eastAsia="新宋体" w:hAnsi="新宋体"/>
          <w:sz w:val="28"/>
          <w:szCs w:val="28"/>
          <w:color w:val="auto"/>
        </w:rPr>
        <w:t>．凡发生下列情况之一者，必须办理变更或核准注销手续：</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授权内容变更；</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证件有效期届满，不再续展；</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持证人因工作变动，不再对外签约；</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持证人因调离本厂、退休或死亡；</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持证人因违反本厂管理制度，情节严重需撤消</w:t>
      </w:r>
      <w:r>
        <w:rPr>
          <w:rFonts w:ascii="Courier New" w:cs="Courier New" w:eastAsia="Courier New" w:hAnsi="Courier New"/>
          <w:sz w:val="28"/>
          <w:szCs w:val="28"/>
          <w:color w:val="auto"/>
        </w:rPr>
        <w:t>“</w:t>
      </w:r>
      <w:r>
        <w:rPr>
          <w:rFonts w:ascii="新宋体" w:cs="新宋体" w:eastAsia="新宋体" w:hAnsi="新宋体"/>
          <w:sz w:val="28"/>
          <w:szCs w:val="28"/>
          <w:color w:val="auto"/>
        </w:rPr>
        <w:t>持证人</w:t>
      </w:r>
      <w:r>
        <w:rPr>
          <w:rFonts w:ascii="Courier New" w:cs="Courier New" w:eastAsia="Courier New" w:hAnsi="Courier New"/>
          <w:sz w:val="28"/>
          <w:szCs w:val="28"/>
          <w:color w:val="auto"/>
        </w:rPr>
        <w:t>”</w:t>
      </w:r>
      <w:r>
        <w:rPr>
          <w:rFonts w:ascii="新宋体" w:cs="新宋体" w:eastAsia="新宋体" w:hAnsi="新宋体"/>
          <w:sz w:val="28"/>
          <w:szCs w:val="28"/>
          <w:color w:val="auto"/>
        </w:rPr>
        <w:t>资格；</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持证人擅自涂改授权内容、转借和弄虚作假撤消</w:t>
      </w:r>
      <w:r>
        <w:rPr>
          <w:rFonts w:ascii="Courier New" w:cs="Courier New" w:eastAsia="Courier New" w:hAnsi="Courier New"/>
          <w:sz w:val="28"/>
          <w:szCs w:val="28"/>
          <w:color w:val="auto"/>
        </w:rPr>
        <w:t>“</w:t>
      </w:r>
      <w:r>
        <w:rPr>
          <w:rFonts w:ascii="新宋体" w:cs="新宋体" w:eastAsia="新宋体" w:hAnsi="新宋体"/>
          <w:sz w:val="28"/>
          <w:szCs w:val="28"/>
          <w:color w:val="auto"/>
        </w:rPr>
        <w:t>持证人</w:t>
      </w:r>
      <w:r>
        <w:rPr>
          <w:rFonts w:ascii="Courier New" w:cs="Courier New" w:eastAsia="Courier New" w:hAnsi="Courier New"/>
          <w:sz w:val="28"/>
          <w:szCs w:val="28"/>
          <w:color w:val="auto"/>
        </w:rPr>
        <w:t>”</w:t>
      </w:r>
      <w:r>
        <w:rPr>
          <w:rFonts w:ascii="新宋体" w:cs="新宋体" w:eastAsia="新宋体" w:hAnsi="新宋体"/>
          <w:sz w:val="28"/>
          <w:szCs w:val="28"/>
          <w:color w:val="auto"/>
        </w:rPr>
        <w:t>资格。</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6</w:t>
      </w:r>
      <w:r>
        <w:rPr>
          <w:rFonts w:ascii="新宋体" w:cs="新宋体" w:eastAsia="新宋体" w:hAnsi="新宋体"/>
          <w:sz w:val="27"/>
          <w:szCs w:val="27"/>
          <w:color w:val="auto"/>
        </w:rPr>
        <w:t>．经颁发的</w:t>
      </w:r>
      <w:r>
        <w:rPr>
          <w:rFonts w:ascii="Courier New" w:cs="Courier New" w:eastAsia="Courier New" w:hAnsi="Courier New"/>
          <w:sz w:val="27"/>
          <w:szCs w:val="27"/>
          <w:color w:val="auto"/>
        </w:rPr>
        <w:t>“</w:t>
      </w:r>
      <w:r>
        <w:rPr>
          <w:rFonts w:ascii="新宋体" w:cs="新宋体" w:eastAsia="新宋体" w:hAnsi="新宋体"/>
          <w:sz w:val="27"/>
          <w:szCs w:val="27"/>
          <w:color w:val="auto"/>
        </w:rPr>
        <w:t>法人委托书如有遗失，持证人应书面向本部门领导报告，</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并将本部门批示意见送信用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管理机构，由信用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管理机构向法</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定代表人或信用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管理领导小组报告后，根据情况酌情处理。</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7</w:t>
      </w:r>
      <w:r>
        <w:rPr>
          <w:rFonts w:ascii="新宋体" w:cs="新宋体" w:eastAsia="新宋体" w:hAnsi="新宋体"/>
          <w:sz w:val="28"/>
          <w:szCs w:val="28"/>
          <w:color w:val="auto"/>
        </w:rPr>
        <w:t>．凡核准注销人员的</w:t>
      </w:r>
      <w:r>
        <w:rPr>
          <w:rFonts w:ascii="Courier New" w:cs="Courier New" w:eastAsia="Courier New" w:hAnsi="Courier New"/>
          <w:sz w:val="28"/>
          <w:szCs w:val="28"/>
          <w:color w:val="auto"/>
        </w:rPr>
        <w:t>“</w:t>
      </w:r>
      <w:r>
        <w:rPr>
          <w:rFonts w:ascii="新宋体" w:cs="新宋体" w:eastAsia="新宋体" w:hAnsi="新宋体"/>
          <w:sz w:val="28"/>
          <w:szCs w:val="28"/>
          <w:color w:val="auto"/>
        </w:rPr>
        <w:t>法人委托书</w:t>
      </w:r>
      <w:r>
        <w:rPr>
          <w:rFonts w:ascii="Courier New" w:cs="Courier New" w:eastAsia="Courier New" w:hAnsi="Courier New"/>
          <w:sz w:val="28"/>
          <w:szCs w:val="28"/>
          <w:color w:val="auto"/>
        </w:rPr>
        <w:t>”</w:t>
      </w:r>
      <w:r>
        <w:rPr>
          <w:rFonts w:ascii="新宋体" w:cs="新宋体" w:eastAsia="新宋体" w:hAnsi="新宋体"/>
          <w:sz w:val="28"/>
          <w:szCs w:val="28"/>
          <w:color w:val="auto"/>
        </w:rPr>
        <w:t>证件，由所在部门负责收回交信</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管理机构统一处理。</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四</w:t>
      </w:r>
      <w:r>
        <w:rPr>
          <w:rFonts w:ascii="Courier New" w:cs="Courier New" w:eastAsia="Courier New" w:hAnsi="Courier New"/>
          <w:sz w:val="28"/>
          <w:szCs w:val="28"/>
          <w:color w:val="auto"/>
        </w:rPr>
        <w:t>)</w:t>
      </w:r>
      <w:r>
        <w:rPr>
          <w:rFonts w:ascii="新宋体" w:cs="新宋体" w:eastAsia="新宋体" w:hAnsi="新宋体"/>
          <w:sz w:val="28"/>
          <w:szCs w:val="28"/>
          <w:color w:val="auto"/>
        </w:rPr>
        <w:t>责任</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1</w:t>
      </w:r>
      <w:r>
        <w:rPr>
          <w:rFonts w:ascii="新宋体" w:cs="新宋体" w:eastAsia="新宋体" w:hAnsi="新宋体"/>
          <w:sz w:val="28"/>
          <w:szCs w:val="28"/>
          <w:color w:val="auto"/>
        </w:rPr>
        <w:t>．各部门应加强对持证人的教育和管理，凡发现严重违反本厂有关制</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度规定签约或利用证件进行违法活动，以及失职、渎职等给厂带来重大损</w:t>
      </w:r>
    </w:p>
    <w:p>
      <w:pPr>
        <w:sectPr>
          <w:pgSz w:w="11900" w:h="16840" w:orient="portrait"/>
          <w:cols w:equalWidth="0" w:num="1">
            <w:col w:w="9140"/>
          </w:cols>
          <w:pgMar w:left="1440" w:top="1440" w:right="1324" w:bottom="1440" w:gutter="0" w:footer="0" w:header="0"/>
        </w:sectPr>
      </w:pPr>
    </w:p>
    <w:bookmarkStart w:id="10" w:name="page11"/>
    <w:bookmarkEnd w:id="10"/>
    <w:p>
      <w:pPr>
        <w:spacing w:after="0" w:line="13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320" w:lineRule="exact"/>
        <w:tabs>
          <w:tab w:leader="none" w:pos="5580" w:val="left"/>
        </w:tabs>
        <w:rPr>
          <w:sz w:val="20"/>
          <w:szCs w:val="20"/>
          <w:color w:val="auto"/>
        </w:rPr>
      </w:pPr>
      <w:r>
        <w:rPr>
          <w:rFonts w:ascii="新宋体" w:cs="新宋体" w:eastAsia="新宋体" w:hAnsi="新宋体"/>
          <w:sz w:val="28"/>
          <w:szCs w:val="28"/>
          <w:color w:val="auto"/>
        </w:rPr>
        <w:t>失者，应依法追究责任，同时注销证件。</w:t>
      </w:r>
      <w:r>
        <w:rPr>
          <w:sz w:val="20"/>
          <w:szCs w:val="20"/>
          <w:color w:val="auto"/>
        </w:rPr>
        <w:tab/>
      </w:r>
      <w:r>
        <w:rPr>
          <w:rFonts w:ascii="新宋体" w:cs="新宋体" w:eastAsia="新宋体" w:hAnsi="新宋体"/>
          <w:sz w:val="28"/>
          <w:szCs w:val="28"/>
          <w:color w:val="auto"/>
        </w:rPr>
        <w:t>／</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．持证人必须严格按授权范围和授权权限在有效期内签订合同，如因</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超越授权范围和授权权限发生的纠纷，其经济及法律责任由持证人承担。</w:t>
      </w:r>
    </w:p>
    <w:p>
      <w:pPr>
        <w:spacing w:after="0" w:line="305" w:lineRule="exact"/>
        <w:rPr>
          <w:sz w:val="20"/>
          <w:szCs w:val="20"/>
          <w:color w:val="auto"/>
        </w:rPr>
      </w:pPr>
    </w:p>
    <w:p>
      <w:pPr>
        <w:ind w:left="560"/>
        <w:spacing w:after="0" w:line="320" w:lineRule="exact"/>
        <w:rPr>
          <w:sz w:val="20"/>
          <w:szCs w:val="20"/>
          <w:color w:val="auto"/>
        </w:rPr>
      </w:pPr>
      <w:r>
        <w:rPr>
          <w:rFonts w:ascii="黑体" w:cs="黑体" w:eastAsia="黑体" w:hAnsi="黑体"/>
          <w:sz w:val="28"/>
          <w:szCs w:val="28"/>
          <w:color w:val="auto"/>
        </w:rPr>
        <w:t>二、合同签订前的评审制度</w:t>
      </w:r>
    </w:p>
    <w:p>
      <w:pPr>
        <w:spacing w:after="0" w:line="273" w:lineRule="exact"/>
        <w:rPr>
          <w:sz w:val="20"/>
          <w:szCs w:val="20"/>
          <w:color w:val="auto"/>
        </w:rPr>
      </w:pPr>
    </w:p>
    <w:p>
      <w:pPr>
        <w:ind w:left="560"/>
        <w:spacing w:after="0" w:line="352" w:lineRule="exact"/>
        <w:rPr>
          <w:sz w:val="20"/>
          <w:szCs w:val="20"/>
          <w:color w:val="auto"/>
        </w:rPr>
      </w:pPr>
      <w:r>
        <w:rPr>
          <w:rFonts w:ascii="新宋体" w:cs="新宋体" w:eastAsia="新宋体" w:hAnsi="新宋体"/>
          <w:sz w:val="27"/>
          <w:szCs w:val="27"/>
          <w:color w:val="auto"/>
        </w:rPr>
        <w:t>合同签订前实行评审制度。合同评审机构设在信用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管理机构内</w:t>
      </w:r>
    </w:p>
    <w:p>
      <w:pPr>
        <w:spacing w:after="0" w:line="273"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部，组成人员包括主管副总、信用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管理机构负责人、信用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理员、合同承办人、供销、财务部门负责人等。</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一</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合同评审程序</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1</w:t>
      </w:r>
      <w:r>
        <w:rPr>
          <w:rFonts w:ascii="新宋体" w:cs="新宋体" w:eastAsia="新宋体" w:hAnsi="新宋体"/>
          <w:sz w:val="28"/>
          <w:szCs w:val="28"/>
          <w:color w:val="auto"/>
        </w:rPr>
        <w:t>．合同承办人将合同草本及相关资料交信用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管理员初审；</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管理员填写合同评审表中初审记录交信用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构负责人审批，签署审批意见。</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3</w:t>
      </w:r>
      <w:r>
        <w:rPr>
          <w:rFonts w:ascii="新宋体" w:cs="新宋体" w:eastAsia="新宋体" w:hAnsi="新宋体"/>
          <w:sz w:val="27"/>
          <w:szCs w:val="27"/>
          <w:color w:val="auto"/>
        </w:rPr>
        <w:t>．特殊／重大合同，由信用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管理机构负责人组织有关部门进行</w:t>
      </w:r>
    </w:p>
    <w:p>
      <w:pPr>
        <w:spacing w:after="0" w:line="273"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会审，信用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管理员汇总各部门会审意见后交信用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责人签署意见，并报主管副总批准实施。</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管理员将合同评审表归人该合同档案。</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二</w:t>
      </w:r>
      <w:r>
        <w:rPr>
          <w:rFonts w:ascii="Courier New" w:cs="Courier New" w:eastAsia="Courier New" w:hAnsi="Courier New"/>
          <w:sz w:val="28"/>
          <w:szCs w:val="28"/>
          <w:color w:val="auto"/>
        </w:rPr>
        <w:t>)</w:t>
      </w:r>
      <w:r>
        <w:rPr>
          <w:rFonts w:ascii="新宋体" w:cs="新宋体" w:eastAsia="新宋体" w:hAnsi="新宋体"/>
          <w:sz w:val="28"/>
          <w:szCs w:val="28"/>
          <w:color w:val="auto"/>
        </w:rPr>
        <w:t>评审内容</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1</w:t>
      </w:r>
      <w:r>
        <w:rPr>
          <w:rFonts w:ascii="新宋体" w:cs="新宋体" w:eastAsia="新宋体" w:hAnsi="新宋体"/>
          <w:sz w:val="28"/>
          <w:szCs w:val="28"/>
          <w:color w:val="auto"/>
        </w:rPr>
        <w:t>．签订合同前必须严格审查对方当事人的主体资格。</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对法人必须审查原件或者盖有工商行政管理局复印专用章的厂法人</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营业执照或营业执照的副本复印件。</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对非法人经济组织，应当审查其是否按法律规定登记并领取营业执</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照。对分支机构或是事业单位和社会团体设立的经营单位，除审查其经营</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范围外，还应同时审查其所从属的法人主体资格。</w:t>
      </w:r>
    </w:p>
    <w:p>
      <w:pPr>
        <w:sectPr>
          <w:pgSz w:w="11900" w:h="16840" w:orient="portrait"/>
          <w:cols w:equalWidth="0" w:num="1">
            <w:col w:w="9024"/>
          </w:cols>
          <w:pgMar w:left="1440" w:top="1440" w:right="1440" w:bottom="1440" w:gutter="0" w:footer="0" w:header="0"/>
        </w:sectPr>
      </w:pPr>
    </w:p>
    <w:bookmarkStart w:id="11" w:name="page12"/>
    <w:bookmarkEnd w:id="11"/>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对外方当事人的资格审查，应调查清楚其地位和性质、厂或组织是</w:t>
      </w:r>
    </w:p>
    <w:p>
      <w:pPr>
        <w:spacing w:after="0" w:line="316" w:lineRule="exact"/>
        <w:rPr>
          <w:sz w:val="20"/>
          <w:szCs w:val="20"/>
          <w:color w:val="auto"/>
        </w:rPr>
      </w:pPr>
    </w:p>
    <w:p>
      <w:pPr>
        <w:spacing w:after="0" w:line="308" w:lineRule="exact"/>
        <w:rPr>
          <w:sz w:val="20"/>
          <w:szCs w:val="20"/>
          <w:color w:val="auto"/>
        </w:rPr>
      </w:pPr>
      <w:r>
        <w:rPr>
          <w:rFonts w:ascii="新宋体" w:cs="新宋体" w:eastAsia="新宋体" w:hAnsi="新宋体"/>
          <w:sz w:val="27"/>
          <w:szCs w:val="27"/>
          <w:color w:val="auto"/>
        </w:rPr>
        <w:t>否合法存在、法定名称、地址、法定代表人姓名、国籍及厂或组织注册地。</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2</w:t>
      </w:r>
      <w:r>
        <w:rPr>
          <w:rFonts w:ascii="新宋体" w:cs="新宋体" w:eastAsia="新宋体" w:hAnsi="新宋体"/>
          <w:sz w:val="28"/>
          <w:szCs w:val="28"/>
          <w:color w:val="auto"/>
        </w:rPr>
        <w:t>．签订合同前需要审查代理人的代理身份和代理资格。</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代理人职务资格证明及个人身份证；</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被代理人签发的授权委托书；</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代理行为是否超越了代理权限或代理权是否超出了代理期限。</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3</w:t>
      </w:r>
      <w:r>
        <w:rPr>
          <w:rFonts w:ascii="新宋体" w:cs="新宋体" w:eastAsia="新宋体" w:hAnsi="新宋体"/>
          <w:sz w:val="28"/>
          <w:szCs w:val="28"/>
          <w:color w:val="auto"/>
        </w:rPr>
        <w:t>．签订合同前，必须认真审查对方当事人的履约能力。对方当事人在</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合同中负有提供专业性较强的劳务、工程项目或限制经营项目等义务时，</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应当要求对方当事人提供由政府法定机构颁发的经营许可证或资质等级证</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书等证明。</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．签订合同前，应当仔细审查对方当事人提供的有关证明资料，必要</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时应到签发部门进行验证或进行实地考察，以防对方当事人伪造或变造证</w:t>
      </w:r>
    </w:p>
    <w:p>
      <w:pPr>
        <w:spacing w:after="0" w:line="316" w:lineRule="exact"/>
        <w:rPr>
          <w:sz w:val="20"/>
          <w:szCs w:val="20"/>
          <w:color w:val="auto"/>
        </w:rPr>
      </w:pPr>
    </w:p>
    <w:p>
      <w:pPr>
        <w:spacing w:after="0" w:line="308" w:lineRule="exact"/>
        <w:rPr>
          <w:sz w:val="20"/>
          <w:szCs w:val="20"/>
          <w:color w:val="auto"/>
        </w:rPr>
      </w:pPr>
      <w:r>
        <w:rPr>
          <w:rFonts w:ascii="新宋体" w:cs="新宋体" w:eastAsia="新宋体" w:hAnsi="新宋体"/>
          <w:sz w:val="27"/>
          <w:szCs w:val="27"/>
          <w:color w:val="auto"/>
        </w:rPr>
        <w:t>明材料。，对方当事人提供的各种证明资料中所使用的当事人名称、印章等</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内容必须完全一致。</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5</w:t>
      </w:r>
      <w:r>
        <w:rPr>
          <w:rFonts w:ascii="新宋体" w:cs="新宋体" w:eastAsia="新宋体" w:hAnsi="新宋体"/>
          <w:sz w:val="28"/>
          <w:szCs w:val="28"/>
          <w:color w:val="auto"/>
        </w:rPr>
        <w:t>．下列资料不能作为主体资格和履约能力的证明资料，但可归人合同</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档案保存，以备考查。</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名片：厂家介绍、产品介绍等资料；</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各类广告、宣传资料；</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各类电话、手机等通讯工具号码；</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对方当事人提供的未经我方合同承办人见证而复制的或未与原件核</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对无异的复印资料。</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三</w:t>
      </w:r>
      <w:r>
        <w:rPr>
          <w:rFonts w:ascii="Courier New" w:cs="Courier New" w:eastAsia="Courier New" w:hAnsi="Courier New"/>
          <w:sz w:val="28"/>
          <w:szCs w:val="28"/>
          <w:color w:val="auto"/>
        </w:rPr>
        <w:t>)</w:t>
      </w:r>
      <w:r>
        <w:rPr>
          <w:rFonts w:ascii="新宋体" w:cs="新宋体" w:eastAsia="新宋体" w:hAnsi="新宋体"/>
          <w:sz w:val="28"/>
          <w:szCs w:val="28"/>
          <w:color w:val="auto"/>
        </w:rPr>
        <w:t>特殊／重大合同的适用范围（自定各类合同标准）</w:t>
      </w:r>
    </w:p>
    <w:p>
      <w:pPr>
        <w:sectPr>
          <w:pgSz w:w="11900" w:h="16840" w:orient="portrait"/>
          <w:cols w:equalWidth="0" w:num="1">
            <w:col w:w="9140"/>
          </w:cols>
          <w:pgMar w:left="1440" w:top="1440" w:right="1324" w:bottom="1440" w:gutter="0" w:footer="0" w:header="0"/>
        </w:sectPr>
      </w:pPr>
    </w:p>
    <w:bookmarkStart w:id="12" w:name="page13"/>
    <w:bookmarkEnd w:id="12"/>
    <w:p>
      <w:pPr>
        <w:spacing w:after="0" w:line="13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20" w:lineRule="exact"/>
        <w:rPr>
          <w:sz w:val="20"/>
          <w:szCs w:val="20"/>
          <w:color w:val="auto"/>
        </w:rPr>
      </w:pPr>
      <w:r>
        <w:rPr>
          <w:rFonts w:ascii="新宋体" w:cs="新宋体" w:eastAsia="新宋体" w:hAnsi="新宋体"/>
          <w:sz w:val="28"/>
          <w:szCs w:val="28"/>
          <w:color w:val="auto"/>
        </w:rPr>
        <w:t>签订的下列合同，视为重大合同：</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订立价款在一百万元以上</w:t>
      </w:r>
      <w:r>
        <w:rPr>
          <w:rFonts w:ascii="Courier New" w:cs="Courier New" w:eastAsia="Courier New" w:hAnsi="Courier New"/>
          <w:sz w:val="28"/>
          <w:szCs w:val="28"/>
          <w:color w:val="auto"/>
        </w:rPr>
        <w:t>(</w:t>
      </w:r>
      <w:r>
        <w:rPr>
          <w:rFonts w:ascii="新宋体" w:cs="新宋体" w:eastAsia="新宋体" w:hAnsi="新宋体"/>
          <w:sz w:val="28"/>
          <w:szCs w:val="28"/>
          <w:color w:val="auto"/>
        </w:rPr>
        <w:t>建筑安装工程承包合同价款在一千万元</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以上</w:t>
      </w:r>
      <w:r>
        <w:rPr>
          <w:rFonts w:ascii="Courier New" w:cs="Courier New" w:eastAsia="Courier New" w:hAnsi="Courier New"/>
          <w:sz w:val="28"/>
          <w:szCs w:val="28"/>
          <w:color w:val="auto"/>
        </w:rPr>
        <w:t>)</w:t>
      </w:r>
      <w:r>
        <w:rPr>
          <w:rFonts w:ascii="新宋体" w:cs="新宋体" w:eastAsia="新宋体" w:hAnsi="新宋体"/>
          <w:sz w:val="28"/>
          <w:szCs w:val="28"/>
          <w:color w:val="auto"/>
        </w:rPr>
        <w:t>的合同；</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投资、联营的合同；</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涉外合同；</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合同承办人认为需可行性审查的其他合同。</w:t>
      </w:r>
    </w:p>
    <w:p>
      <w:pPr>
        <w:spacing w:after="0" w:line="260" w:lineRule="exact"/>
        <w:rPr>
          <w:sz w:val="20"/>
          <w:szCs w:val="20"/>
          <w:color w:val="auto"/>
        </w:rPr>
      </w:pPr>
    </w:p>
    <w:p>
      <w:pPr>
        <w:ind w:left="42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四</w:t>
      </w:r>
      <w:r>
        <w:rPr>
          <w:rFonts w:ascii="Courier New" w:cs="Courier New" w:eastAsia="Courier New" w:hAnsi="Courier New"/>
          <w:sz w:val="28"/>
          <w:szCs w:val="28"/>
          <w:color w:val="auto"/>
        </w:rPr>
        <w:t>)</w:t>
      </w:r>
      <w:r>
        <w:rPr>
          <w:rFonts w:ascii="新宋体" w:cs="新宋体" w:eastAsia="新宋体" w:hAnsi="新宋体"/>
          <w:sz w:val="28"/>
          <w:szCs w:val="28"/>
          <w:color w:val="auto"/>
        </w:rPr>
        <w:t>特殊／重大合同评审的附加程序</w:t>
      </w:r>
    </w:p>
    <w:p>
      <w:pPr>
        <w:spacing w:after="0" w:line="260" w:lineRule="exact"/>
        <w:rPr>
          <w:sz w:val="20"/>
          <w:szCs w:val="20"/>
          <w:color w:val="auto"/>
        </w:rPr>
      </w:pPr>
    </w:p>
    <w:p>
      <w:pPr>
        <w:ind w:left="980" w:hanging="421"/>
        <w:spacing w:after="0" w:line="365" w:lineRule="exact"/>
        <w:tabs>
          <w:tab w:leader="none" w:pos="980" w:val="left"/>
        </w:tabs>
        <w:numPr>
          <w:ilvl w:val="0"/>
          <w:numId w:val="7"/>
        </w:numPr>
        <w:rPr>
          <w:rFonts w:ascii="Courier New" w:cs="Courier New" w:eastAsia="Courier New" w:hAnsi="Courier New"/>
          <w:sz w:val="28"/>
          <w:szCs w:val="28"/>
          <w:color w:val="auto"/>
        </w:rPr>
      </w:pPr>
      <w:r>
        <w:rPr>
          <w:rFonts w:ascii="新宋体" w:cs="新宋体" w:eastAsia="新宋体" w:hAnsi="新宋体"/>
          <w:sz w:val="28"/>
          <w:szCs w:val="28"/>
          <w:color w:val="auto"/>
        </w:rPr>
        <w:t>签订特殊／重大合同，应当及时进行可行性审查。</w:t>
      </w:r>
    </w:p>
    <w:p>
      <w:pPr>
        <w:spacing w:after="0" w:line="272" w:lineRule="exact"/>
        <w:rPr>
          <w:rFonts w:ascii="Courier New" w:cs="Courier New" w:eastAsia="Courier New" w:hAnsi="Courier New"/>
          <w:sz w:val="28"/>
          <w:szCs w:val="28"/>
          <w:color w:val="auto"/>
        </w:rPr>
      </w:pPr>
    </w:p>
    <w:p>
      <w:pPr>
        <w:ind w:left="560"/>
        <w:spacing w:after="0" w:line="352" w:lineRule="exact"/>
        <w:rPr>
          <w:rFonts w:ascii="Courier New" w:cs="Courier New" w:eastAsia="Courier New" w:hAnsi="Courier New"/>
          <w:sz w:val="28"/>
          <w:szCs w:val="28"/>
          <w:color w:val="auto"/>
        </w:rPr>
      </w:pPr>
      <w:r>
        <w:rPr>
          <w:rFonts w:ascii="新宋体" w:cs="新宋体" w:eastAsia="新宋体" w:hAnsi="新宋体"/>
          <w:sz w:val="27"/>
          <w:szCs w:val="27"/>
          <w:color w:val="auto"/>
        </w:rPr>
        <w:t>合同的可行性审查由信用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管理机构负责人组织有关部门以会签</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的形式进行</w:t>
      </w:r>
      <w:r>
        <w:rPr>
          <w:rFonts w:ascii="Courier New" w:cs="Courier New" w:eastAsia="Courier New" w:hAnsi="Courier New"/>
          <w:sz w:val="28"/>
          <w:szCs w:val="28"/>
          <w:color w:val="auto"/>
        </w:rPr>
        <w:t>,</w:t>
      </w:r>
      <w:r>
        <w:rPr>
          <w:rFonts w:ascii="新宋体" w:cs="新宋体" w:eastAsia="新宋体" w:hAnsi="新宋体"/>
          <w:sz w:val="28"/>
          <w:szCs w:val="28"/>
          <w:color w:val="auto"/>
        </w:rPr>
        <w:t>也可以通过召开有关部门负责人会议的形式进行。</w:t>
      </w:r>
    </w:p>
    <w:p>
      <w:pPr>
        <w:spacing w:after="0" w:line="260" w:lineRule="exact"/>
        <w:rPr>
          <w:sz w:val="20"/>
          <w:szCs w:val="20"/>
          <w:color w:val="auto"/>
        </w:rPr>
      </w:pPr>
    </w:p>
    <w:p>
      <w:pPr>
        <w:ind w:left="980" w:hanging="421"/>
        <w:spacing w:after="0" w:line="365" w:lineRule="exact"/>
        <w:tabs>
          <w:tab w:leader="none" w:pos="980" w:val="left"/>
        </w:tabs>
        <w:numPr>
          <w:ilvl w:val="0"/>
          <w:numId w:val="8"/>
        </w:numPr>
        <w:rPr>
          <w:rFonts w:ascii="Courier New" w:cs="Courier New" w:eastAsia="Courier New" w:hAnsi="Courier New"/>
          <w:sz w:val="28"/>
          <w:szCs w:val="28"/>
          <w:color w:val="auto"/>
        </w:rPr>
      </w:pPr>
      <w:r>
        <w:rPr>
          <w:rFonts w:ascii="新宋体" w:cs="新宋体" w:eastAsia="新宋体" w:hAnsi="新宋体"/>
          <w:sz w:val="28"/>
          <w:szCs w:val="28"/>
          <w:color w:val="auto"/>
        </w:rPr>
        <w:t>签订特殊</w:t>
      </w:r>
      <w:r>
        <w:rPr>
          <w:rFonts w:ascii="Courier New" w:cs="Courier New" w:eastAsia="Courier New" w:hAnsi="Courier New"/>
          <w:sz w:val="28"/>
          <w:szCs w:val="28"/>
          <w:color w:val="auto"/>
        </w:rPr>
        <w:t>/</w:t>
      </w:r>
      <w:r>
        <w:rPr>
          <w:rFonts w:ascii="新宋体" w:cs="新宋体" w:eastAsia="新宋体" w:hAnsi="新宋体"/>
          <w:sz w:val="28"/>
          <w:szCs w:val="28"/>
          <w:color w:val="auto"/>
        </w:rPr>
        <w:t>重大合同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应当进行合法性审查。</w:t>
      </w:r>
    </w:p>
    <w:p>
      <w:pPr>
        <w:spacing w:after="0" w:line="273" w:lineRule="exact"/>
        <w:rPr>
          <w:sz w:val="20"/>
          <w:szCs w:val="20"/>
          <w:color w:val="auto"/>
        </w:rPr>
      </w:pPr>
    </w:p>
    <w:p>
      <w:pPr>
        <w:ind w:left="560"/>
        <w:spacing w:after="0" w:line="352" w:lineRule="exact"/>
        <w:rPr>
          <w:sz w:val="20"/>
          <w:szCs w:val="20"/>
          <w:color w:val="auto"/>
        </w:rPr>
      </w:pPr>
      <w:r>
        <w:rPr>
          <w:rFonts w:ascii="新宋体" w:cs="新宋体" w:eastAsia="新宋体" w:hAnsi="新宋体"/>
          <w:sz w:val="27"/>
          <w:szCs w:val="27"/>
          <w:color w:val="auto"/>
        </w:rPr>
        <w:t>合同的合法性审查</w:t>
      </w:r>
      <w:r>
        <w:rPr>
          <w:rFonts w:ascii="Courier New" w:cs="Courier New" w:eastAsia="Courier New" w:hAnsi="Courier New"/>
          <w:sz w:val="27"/>
          <w:szCs w:val="27"/>
          <w:color w:val="auto"/>
        </w:rPr>
        <w:t>,</w:t>
      </w:r>
      <w:r>
        <w:rPr>
          <w:rFonts w:ascii="新宋体" w:cs="新宋体" w:eastAsia="新宋体" w:hAnsi="新宋体"/>
          <w:sz w:val="27"/>
          <w:szCs w:val="27"/>
          <w:color w:val="auto"/>
        </w:rPr>
        <w:t>由合同承办人按其隶属关系</w:t>
      </w:r>
      <w:r>
        <w:rPr>
          <w:rFonts w:ascii="Courier New" w:cs="Courier New" w:eastAsia="Courier New" w:hAnsi="Courier New"/>
          <w:sz w:val="27"/>
          <w:szCs w:val="27"/>
          <w:color w:val="auto"/>
        </w:rPr>
        <w:t>,</w:t>
      </w:r>
      <w:r>
        <w:rPr>
          <w:rFonts w:ascii="新宋体" w:cs="新宋体" w:eastAsia="新宋体" w:hAnsi="新宋体"/>
          <w:sz w:val="27"/>
          <w:szCs w:val="27"/>
          <w:color w:val="auto"/>
        </w:rPr>
        <w:t>送交信用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机构进行合法性审查</w:t>
      </w:r>
      <w:r>
        <w:rPr>
          <w:rFonts w:ascii="Courier New" w:cs="Courier New" w:eastAsia="Courier New" w:hAnsi="Courier New"/>
          <w:sz w:val="28"/>
          <w:szCs w:val="28"/>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ind w:right="24"/>
        <w:spacing w:after="0" w:line="411" w:lineRule="exact"/>
        <w:rPr>
          <w:sz w:val="20"/>
          <w:szCs w:val="20"/>
          <w:color w:val="auto"/>
        </w:rPr>
      </w:pPr>
      <w:r>
        <w:rPr>
          <w:rFonts w:ascii="黑体" w:cs="黑体" w:eastAsia="黑体" w:hAnsi="黑体"/>
          <w:sz w:val="36"/>
          <w:szCs w:val="36"/>
          <w:color w:val="auto"/>
        </w:rPr>
        <w:t>企业信用(合同)管理制度</w:t>
      </w:r>
    </w:p>
    <w:p>
      <w:pPr>
        <w:spacing w:after="0" w:line="213" w:lineRule="exact"/>
        <w:rPr>
          <w:sz w:val="20"/>
          <w:szCs w:val="20"/>
          <w:color w:val="auto"/>
        </w:rPr>
      </w:pPr>
    </w:p>
    <w:p>
      <w:pPr>
        <w:jc w:val="center"/>
        <w:ind w:right="24"/>
        <w:spacing w:after="0" w:line="411" w:lineRule="exact"/>
        <w:rPr>
          <w:sz w:val="20"/>
          <w:szCs w:val="20"/>
          <w:color w:val="auto"/>
        </w:rPr>
      </w:pPr>
      <w:r>
        <w:rPr>
          <w:rFonts w:ascii="黑体" w:cs="黑体" w:eastAsia="黑体" w:hAnsi="黑体"/>
          <w:sz w:val="36"/>
          <w:szCs w:val="36"/>
          <w:color w:val="auto"/>
        </w:rPr>
        <w:t>合同签订、履行、变更和解除制度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700"/>
        <w:spacing w:after="0" w:line="320" w:lineRule="exact"/>
        <w:rPr>
          <w:sz w:val="20"/>
          <w:szCs w:val="20"/>
          <w:color w:val="auto"/>
        </w:rPr>
      </w:pPr>
      <w:r>
        <w:rPr>
          <w:rFonts w:ascii="黑体" w:cs="黑体" w:eastAsia="黑体" w:hAnsi="黑体"/>
          <w:sz w:val="28"/>
          <w:szCs w:val="28"/>
          <w:color w:val="auto"/>
        </w:rPr>
        <w:t>一、合同签订管理</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w:t>
      </w:r>
      <w:r>
        <w:rPr>
          <w:rFonts w:ascii="新宋体" w:cs="新宋体" w:eastAsia="新宋体" w:hAnsi="新宋体"/>
          <w:sz w:val="27"/>
          <w:szCs w:val="27"/>
          <w:color w:val="auto"/>
        </w:rPr>
        <w:t>．合同承办人签约前必须对对方主体资格、代理身份、代理资格、履</w:t>
      </w:r>
    </w:p>
    <w:p>
      <w:pPr>
        <w:sectPr>
          <w:pgSz w:w="11900" w:h="16840" w:orient="portrait"/>
          <w:cols w:equalWidth="0" w:num="1">
            <w:col w:w="9024"/>
          </w:cols>
          <w:pgMar w:left="1440" w:top="1440" w:right="1440" w:bottom="1440" w:gutter="0" w:footer="0" w:header="0"/>
        </w:sectPr>
      </w:pPr>
    </w:p>
    <w:bookmarkStart w:id="13" w:name="page14"/>
    <w:bookmarkEnd w:id="13"/>
    <w:p>
      <w:pPr>
        <w:spacing w:after="0" w:line="13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320" w:lineRule="exact"/>
        <w:rPr>
          <w:sz w:val="20"/>
          <w:szCs w:val="20"/>
          <w:color w:val="auto"/>
        </w:rPr>
      </w:pPr>
      <w:r>
        <w:rPr>
          <w:rFonts w:ascii="新宋体" w:cs="新宋体" w:eastAsia="新宋体" w:hAnsi="新宋体"/>
          <w:sz w:val="28"/>
          <w:szCs w:val="28"/>
          <w:color w:val="auto"/>
        </w:rPr>
        <w:t>约能力及合同可行性进行审查，并收集整理相关资料，以备合同评审机构</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进行评审。</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．订立合同的主体，必须是法人或者是取得营业执照的非法人经济组</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织。集团厂内各单位的业务部门不得以本部门的名义或擅自以其他单位、</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部门的名义对外签订合同。严禁其他厂或个人所办各类企业以本厂及下属</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单位的名义对外签订合同。</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3</w:t>
      </w:r>
      <w:r>
        <w:rPr>
          <w:rFonts w:ascii="新宋体" w:cs="新宋体" w:eastAsia="新宋体" w:hAnsi="新宋体"/>
          <w:sz w:val="27"/>
          <w:szCs w:val="27"/>
          <w:color w:val="auto"/>
        </w:rPr>
        <w:t>．厂对外签订合同，应由其法定代表人或法定代表人授权的代理人进</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行。未经授权，任何人不得以厂名义对外签订合同。</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4</w:t>
      </w:r>
      <w:r>
        <w:rPr>
          <w:rFonts w:ascii="新宋体" w:cs="新宋体" w:eastAsia="新宋体" w:hAnsi="新宋体"/>
          <w:sz w:val="27"/>
          <w:szCs w:val="27"/>
          <w:color w:val="auto"/>
        </w:rPr>
        <w:t>．严禁将合同业务介绍信转借其他单位或个人使用。介绍信的存根应</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当保存五年，以备核查。</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5</w:t>
      </w:r>
      <w:r>
        <w:rPr>
          <w:rFonts w:ascii="新宋体" w:cs="新宋体" w:eastAsia="新宋体" w:hAnsi="新宋体"/>
          <w:sz w:val="27"/>
          <w:szCs w:val="27"/>
          <w:color w:val="auto"/>
        </w:rPr>
        <w:t>．除及时清结者外，合同应当采用书面形式，合同文本国家或省已经</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发布示范文本的，应当采用合同示范文本。销售部门必须使用国家统一的</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买卖合同文本对外签订合同；外协部门必须使用国家统一的加工定做、承</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揽合同文本对外签订合同；供应、设备、基建部门外出采购尽可能采用统</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一的合同文本。如果没有合同示范文本，应当参照类似的示范文本。采用</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合同示范文本时，可以根据所订合同的具体情况依法作出补充约定。各部</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门所需的合同文本由厂信用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管理员统一购买或定制。</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6</w:t>
      </w:r>
      <w:r>
        <w:rPr>
          <w:rFonts w:ascii="新宋体" w:cs="新宋体" w:eastAsia="新宋体" w:hAnsi="新宋体"/>
          <w:sz w:val="27"/>
          <w:szCs w:val="27"/>
          <w:color w:val="auto"/>
        </w:rPr>
        <w:t>．合同及其有关的书面材料，应当语言规范，字迹</w:t>
      </w:r>
      <w:r>
        <w:rPr>
          <w:rFonts w:ascii="Courier New" w:cs="Courier New" w:eastAsia="Courier New" w:hAnsi="Courier New"/>
          <w:sz w:val="27"/>
          <w:szCs w:val="27"/>
          <w:color w:val="auto"/>
        </w:rPr>
        <w:t>(</w:t>
      </w:r>
      <w:r>
        <w:rPr>
          <w:rFonts w:ascii="新宋体" w:cs="新宋体" w:eastAsia="新宋体" w:hAnsi="新宋体"/>
          <w:sz w:val="27"/>
          <w:szCs w:val="27"/>
          <w:color w:val="auto"/>
        </w:rPr>
        <w:t>符号</w:t>
      </w:r>
      <w:r>
        <w:rPr>
          <w:rFonts w:ascii="Courier New" w:cs="Courier New" w:eastAsia="Courier New" w:hAnsi="Courier New"/>
          <w:sz w:val="27"/>
          <w:szCs w:val="27"/>
          <w:color w:val="auto"/>
        </w:rPr>
        <w:t>)</w:t>
      </w:r>
      <w:r>
        <w:rPr>
          <w:rFonts w:ascii="新宋体" w:cs="新宋体" w:eastAsia="新宋体" w:hAnsi="新宋体"/>
          <w:sz w:val="27"/>
          <w:szCs w:val="27"/>
          <w:color w:val="auto"/>
        </w:rPr>
        <w:t>清晰，条款</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完整，内容具体，用语准确、无歧义。</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7</w:t>
      </w:r>
      <w:r>
        <w:rPr>
          <w:rFonts w:ascii="新宋体" w:cs="新宋体" w:eastAsia="新宋体" w:hAnsi="新宋体"/>
          <w:sz w:val="27"/>
          <w:szCs w:val="27"/>
          <w:color w:val="auto"/>
        </w:rPr>
        <w:t>．订立合同，必须完备合同条款。合同条款一般包括当事人的名称或</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者姓名和住所，标的，数量和质量，价款和报酬，履行的期限、地点和方</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式，违约责任及解决争议的方法等。</w:t>
      </w:r>
    </w:p>
    <w:p>
      <w:pPr>
        <w:sectPr>
          <w:pgSz w:w="11900" w:h="16840" w:orient="portrait"/>
          <w:cols w:equalWidth="0" w:num="1">
            <w:col w:w="9024"/>
          </w:cols>
          <w:pgMar w:left="1440" w:top="1440" w:right="1440" w:bottom="1440" w:gutter="0" w:footer="0" w:header="0"/>
        </w:sectPr>
      </w:pPr>
    </w:p>
    <w:bookmarkStart w:id="14" w:name="page15"/>
    <w:bookmarkEnd w:id="14"/>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8</w:t>
      </w:r>
      <w:r>
        <w:rPr>
          <w:rFonts w:ascii="新宋体" w:cs="新宋体" w:eastAsia="新宋体" w:hAnsi="新宋体"/>
          <w:sz w:val="28"/>
          <w:szCs w:val="28"/>
          <w:color w:val="auto"/>
        </w:rPr>
        <w:t>．订立依法可以设定担保或者对对方当事人的履约能力没有把握的合</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同，应当要求对方当事人依法提供保证、抵押、留置、定金等相应形式的</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有效担保。对方当事人提供的保证人，必须是法律许可的具有代为清偿债</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务能力的法人、其他组织或者自然人。对对方当事人的保证人的主体资格</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和清偿债务能力要参照本制度的规定进行审查。</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9</w:t>
      </w:r>
      <w:r>
        <w:rPr>
          <w:rFonts w:ascii="新宋体" w:cs="新宋体" w:eastAsia="新宋体" w:hAnsi="新宋体"/>
          <w:sz w:val="28"/>
          <w:szCs w:val="28"/>
          <w:color w:val="auto"/>
        </w:rPr>
        <w:t>．对外签订合同，要明确选择纠纷管辖地，并力求选择本厂所在地仲</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裁机构或法院。</w:t>
      </w:r>
    </w:p>
    <w:p>
      <w:pPr>
        <w:spacing w:after="0" w:line="260" w:lineRule="exact"/>
        <w:rPr>
          <w:sz w:val="20"/>
          <w:szCs w:val="20"/>
          <w:color w:val="auto"/>
        </w:rPr>
      </w:pPr>
    </w:p>
    <w:p>
      <w:pPr>
        <w:ind w:left="420"/>
        <w:spacing w:after="0" w:line="365" w:lineRule="exact"/>
        <w:rPr>
          <w:sz w:val="20"/>
          <w:szCs w:val="20"/>
          <w:color w:val="auto"/>
        </w:rPr>
      </w:pPr>
      <w:r>
        <w:rPr>
          <w:rFonts w:ascii="Courier New" w:cs="Courier New" w:eastAsia="Courier New" w:hAnsi="Courier New"/>
          <w:sz w:val="28"/>
          <w:szCs w:val="28"/>
          <w:color w:val="auto"/>
        </w:rPr>
        <w:t>10</w:t>
      </w:r>
      <w:r>
        <w:rPr>
          <w:rFonts w:ascii="新宋体" w:cs="新宋体" w:eastAsia="新宋体" w:hAnsi="新宋体"/>
          <w:sz w:val="28"/>
          <w:szCs w:val="28"/>
          <w:color w:val="auto"/>
        </w:rPr>
        <w:t>．法定代表人或合同承办人应当亲自在合同文本上签名盖章。</w:t>
      </w:r>
    </w:p>
    <w:p>
      <w:pPr>
        <w:spacing w:after="0" w:line="273" w:lineRule="exact"/>
        <w:rPr>
          <w:sz w:val="20"/>
          <w:szCs w:val="20"/>
          <w:color w:val="auto"/>
        </w:rPr>
      </w:pPr>
    </w:p>
    <w:p>
      <w:pPr>
        <w:ind w:left="420"/>
        <w:spacing w:after="0" w:line="352" w:lineRule="exact"/>
        <w:rPr>
          <w:sz w:val="20"/>
          <w:szCs w:val="20"/>
          <w:color w:val="auto"/>
        </w:rPr>
      </w:pPr>
      <w:r>
        <w:rPr>
          <w:rFonts w:ascii="Courier New" w:cs="Courier New" w:eastAsia="Courier New" w:hAnsi="Courier New"/>
          <w:sz w:val="27"/>
          <w:szCs w:val="27"/>
          <w:color w:val="auto"/>
        </w:rPr>
        <w:t>11</w:t>
      </w:r>
      <w:r>
        <w:rPr>
          <w:rFonts w:ascii="新宋体" w:cs="新宋体" w:eastAsia="新宋体" w:hAnsi="新宋体"/>
          <w:sz w:val="27"/>
          <w:szCs w:val="27"/>
          <w:color w:val="auto"/>
        </w:rPr>
        <w:t>．签订合同，应当加盖单位的合同专用章。严禁在空白合同文本上加</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盖合同专用</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合同专用章的申请人必须是有权对外签订合同的部门和分厂。</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各有关部门和分厂的合同专用章由信用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管理机构统一归口管</w:t>
      </w:r>
    </w:p>
    <w:p>
      <w:pPr>
        <w:spacing w:after="0" w:line="273"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理。信用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管理机构负责申请报告的审批、合同专用章的登记、留样、</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发放和监督检查等管理工作。</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合同专用章的刻制由信用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管理机构负责。任何部门不得擅自</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刻制合同专用章，如发现有此类行为的发生，追究责任人员的行政责任。</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凡需刻制合同专用章的部门，必须由申请部门提出书面申请报告，并由主</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管领导审批签字，同时按工作的实际需要和用途提供合同专用章刻制的数</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量、要求和样章草图，交信用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管理机构审查后统一办理。</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凡持有合同专用章的部门，应做到合法使用、专人保管。技术合同</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专用章由信用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管理机构负责保管，如遇工作需要，需携带外出，应</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事先办理借用手续，用后立即归还。</w:t>
      </w:r>
    </w:p>
    <w:p>
      <w:pPr>
        <w:sectPr>
          <w:pgSz w:w="11900" w:h="16840" w:orient="portrait"/>
          <w:cols w:equalWidth="0" w:num="1">
            <w:col w:w="9140"/>
          </w:cols>
          <w:pgMar w:left="1440" w:top="1440" w:right="1324" w:bottom="1440" w:gutter="0" w:footer="0" w:header="0"/>
        </w:sectPr>
      </w:pPr>
    </w:p>
    <w:bookmarkStart w:id="15" w:name="page16"/>
    <w:bookmarkEnd w:id="15"/>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合同专用章的保管使用的检查工作列入每年的合同检查范围之内。</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合同专用章不得代用，混用。发现利用合同专用章进行违法活动，</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给厂造成经济损失者，依法追究其行政和法律责任。</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凡遇合同专用章遗失，应立即向本部门领导报告，并将本部门批示</w:t>
      </w:r>
    </w:p>
    <w:p>
      <w:pPr>
        <w:spacing w:after="0" w:line="273"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意见送信用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管理机构备案，在当地市级报纸上刊登遗失声明，办理</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相关证明材料。</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凡遇合同专用章变更，需重新刻制，其申请程序与手续与新申请相</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同，原合同专用章交还信用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管理机构统一处理。</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12</w:t>
      </w:r>
      <w:r>
        <w:rPr>
          <w:rFonts w:ascii="新宋体" w:cs="新宋体" w:eastAsia="新宋体" w:hAnsi="新宋体"/>
          <w:sz w:val="27"/>
          <w:szCs w:val="27"/>
          <w:color w:val="auto"/>
        </w:rPr>
        <w:t>．订立依法应当办理批准、登记、见证、鉴证、公证等特别程序的</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合同时，应当依法办理特别手续。</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13</w:t>
      </w:r>
      <w:r>
        <w:rPr>
          <w:rFonts w:ascii="新宋体" w:cs="新宋体" w:eastAsia="新宋体" w:hAnsi="新宋体"/>
          <w:sz w:val="27"/>
          <w:szCs w:val="27"/>
          <w:color w:val="auto"/>
        </w:rPr>
        <w:t>．合同承办人应将合同的副本一份及时送交本单位财务部门备案，</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作为财务部门收付款物的依据。</w:t>
      </w:r>
    </w:p>
    <w:p>
      <w:pPr>
        <w:spacing w:after="0" w:line="305" w:lineRule="exact"/>
        <w:rPr>
          <w:sz w:val="20"/>
          <w:szCs w:val="20"/>
          <w:color w:val="auto"/>
        </w:rPr>
      </w:pPr>
    </w:p>
    <w:p>
      <w:pPr>
        <w:ind w:left="560"/>
        <w:spacing w:after="0" w:line="320" w:lineRule="exact"/>
        <w:rPr>
          <w:sz w:val="20"/>
          <w:szCs w:val="20"/>
          <w:color w:val="auto"/>
        </w:rPr>
      </w:pPr>
      <w:r>
        <w:rPr>
          <w:rFonts w:ascii="黑体" w:cs="黑体" w:eastAsia="黑体" w:hAnsi="黑体"/>
          <w:sz w:val="28"/>
          <w:szCs w:val="28"/>
          <w:color w:val="auto"/>
        </w:rPr>
        <w:t>二、合同履约管理</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w:t>
      </w:r>
      <w:r>
        <w:rPr>
          <w:rFonts w:ascii="新宋体" w:cs="新宋体" w:eastAsia="新宋体" w:hAnsi="新宋体"/>
          <w:sz w:val="27"/>
          <w:szCs w:val="27"/>
          <w:color w:val="auto"/>
        </w:rPr>
        <w:t>．法定代表人全面负责合同的履行。合同承办单位、部门和人员具体</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负责其订立合同的履行。新任法定代表人应当继续履行前任法定代表人依</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法订立的合同。</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．在履行合同过程中，根据情况的变化，应当对对方当事人的履行能</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力进行跟踪调查。如发现问题，合同承办人要及时处理，必要时经单位负</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责人同意，可现场考核合同标的情况和对方当事人的履约能力。</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3</w:t>
      </w:r>
      <w:r>
        <w:rPr>
          <w:rFonts w:ascii="新宋体" w:cs="新宋体" w:eastAsia="新宋体" w:hAnsi="新宋体"/>
          <w:sz w:val="27"/>
          <w:szCs w:val="27"/>
          <w:color w:val="auto"/>
        </w:rPr>
        <w:t>．接收标的必须经过严格的验收或商检程序。对不符合制度的标的应</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在法定期限内及时提出书面异议。</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4</w:t>
      </w:r>
      <w:r>
        <w:rPr>
          <w:rFonts w:ascii="新宋体" w:cs="新宋体" w:eastAsia="新宋体" w:hAnsi="新宋体"/>
          <w:sz w:val="27"/>
          <w:szCs w:val="27"/>
          <w:color w:val="auto"/>
        </w:rPr>
        <w:t>．合同结算必须通过本单位财务部门进行。对合法有效的合同，财务</w:t>
      </w:r>
    </w:p>
    <w:p>
      <w:pPr>
        <w:sectPr>
          <w:pgSz w:w="11900" w:h="16840" w:orient="portrait"/>
          <w:cols w:equalWidth="0" w:num="1">
            <w:col w:w="9024"/>
          </w:cols>
          <w:pgMar w:left="1440" w:top="1440" w:right="1440" w:bottom="1440" w:gutter="0" w:footer="0" w:header="0"/>
        </w:sectPr>
      </w:pPr>
    </w:p>
    <w:bookmarkStart w:id="16" w:name="page17"/>
    <w:bookmarkEnd w:id="16"/>
    <w:p>
      <w:pPr>
        <w:spacing w:after="0" w:line="143"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308" w:lineRule="exact"/>
        <w:rPr>
          <w:sz w:val="20"/>
          <w:szCs w:val="20"/>
          <w:color w:val="auto"/>
        </w:rPr>
      </w:pPr>
      <w:r>
        <w:rPr>
          <w:rFonts w:ascii="新宋体" w:cs="新宋体" w:eastAsia="新宋体" w:hAnsi="新宋体"/>
          <w:sz w:val="27"/>
          <w:szCs w:val="27"/>
          <w:color w:val="auto"/>
        </w:rPr>
        <w:t>部门必须在合同约定的期限内结算。对未经合法授权或超权限签订的合同，</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财务部门有权拒绝结算。</w:t>
      </w:r>
    </w:p>
    <w:p>
      <w:pPr>
        <w:spacing w:after="0" w:line="345" w:lineRule="exact"/>
        <w:rPr>
          <w:sz w:val="20"/>
          <w:szCs w:val="20"/>
          <w:color w:val="auto"/>
        </w:rPr>
      </w:pPr>
    </w:p>
    <w:p>
      <w:pPr>
        <w:jc w:val="both"/>
        <w:ind w:right="140" w:firstLine="561"/>
        <w:spacing w:after="0" w:line="555" w:lineRule="exact"/>
        <w:tabs>
          <w:tab w:leader="none" w:pos="982" w:val="left"/>
        </w:tabs>
        <w:numPr>
          <w:ilvl w:val="0"/>
          <w:numId w:val="9"/>
        </w:numPr>
        <w:rPr>
          <w:rFonts w:ascii="Courier New" w:cs="Courier New" w:eastAsia="Courier New" w:hAnsi="Courier New"/>
          <w:sz w:val="28"/>
          <w:szCs w:val="28"/>
          <w:color w:val="auto"/>
        </w:rPr>
      </w:pPr>
      <w:r>
        <w:rPr>
          <w:rFonts w:ascii="新宋体" w:cs="新宋体" w:eastAsia="新宋体" w:hAnsi="新宋体"/>
          <w:sz w:val="28"/>
          <w:szCs w:val="28"/>
          <w:color w:val="auto"/>
        </w:rPr>
        <w:t>凡与合同有关的来往文书、电报、电传、信函、电话记录都应作为履约证据留存。对我方当事人的履约情况，除妥善保存有关收付凭证外，还要做好履约记录。我方当事人收到对方当事人通过邮递方式传送的与合同有关的法律文书时，应当连同信封一并收存。通过邮递方式传送与合同有关的法律文书时，必须使用挂号信函，并保存邮局收据、回执备案。</w:t>
      </w:r>
    </w:p>
    <w:p>
      <w:pPr>
        <w:spacing w:after="0" w:line="349" w:lineRule="exact"/>
        <w:rPr>
          <w:rFonts w:ascii="Courier New" w:cs="Courier New" w:eastAsia="Courier New" w:hAnsi="Courier New"/>
          <w:sz w:val="28"/>
          <w:szCs w:val="28"/>
          <w:color w:val="auto"/>
        </w:rPr>
      </w:pPr>
    </w:p>
    <w:p>
      <w:pPr>
        <w:ind w:right="140" w:firstLine="561"/>
        <w:spacing w:after="0" w:line="451" w:lineRule="exact"/>
        <w:tabs>
          <w:tab w:leader="none" w:pos="981" w:val="left"/>
        </w:tabs>
        <w:numPr>
          <w:ilvl w:val="0"/>
          <w:numId w:val="9"/>
        </w:numPr>
        <w:rPr>
          <w:rFonts w:ascii="Courier New" w:cs="Courier New" w:eastAsia="Courier New" w:hAnsi="Courier New"/>
          <w:sz w:val="28"/>
          <w:szCs w:val="28"/>
          <w:color w:val="auto"/>
        </w:rPr>
      </w:pPr>
      <w:r>
        <w:rPr>
          <w:rFonts w:ascii="新宋体" w:cs="新宋体" w:eastAsia="新宋体" w:hAnsi="新宋体"/>
          <w:sz w:val="28"/>
          <w:szCs w:val="28"/>
          <w:color w:val="auto"/>
        </w:rPr>
        <w:t>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管理员负责监督检查合同履行情况，按时间顺序及时建立合同签订与履行情况台帐。</w:t>
      </w:r>
    </w:p>
    <w:p>
      <w:pPr>
        <w:spacing w:after="0" w:line="307" w:lineRule="exact"/>
        <w:rPr>
          <w:sz w:val="20"/>
          <w:szCs w:val="20"/>
          <w:color w:val="auto"/>
        </w:rPr>
      </w:pPr>
    </w:p>
    <w:p>
      <w:pPr>
        <w:ind w:left="560"/>
        <w:spacing w:after="0" w:line="320" w:lineRule="exact"/>
        <w:rPr>
          <w:sz w:val="20"/>
          <w:szCs w:val="20"/>
          <w:color w:val="auto"/>
        </w:rPr>
      </w:pPr>
      <w:r>
        <w:rPr>
          <w:rFonts w:ascii="黑体" w:cs="黑体" w:eastAsia="黑体" w:hAnsi="黑体"/>
          <w:sz w:val="28"/>
          <w:szCs w:val="28"/>
          <w:color w:val="auto"/>
        </w:rPr>
        <w:t>三、合同的变更和解除</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1</w:t>
      </w:r>
      <w:r>
        <w:rPr>
          <w:rFonts w:ascii="新宋体" w:cs="新宋体" w:eastAsia="新宋体" w:hAnsi="新宋体"/>
          <w:sz w:val="28"/>
          <w:szCs w:val="28"/>
          <w:color w:val="auto"/>
        </w:rPr>
        <w:t>．合同的变更与解除由合同承办人以书面形式报合同评审机构审核，</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批准后，尽快与对方签订变更或解除协议。</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2</w:t>
      </w:r>
      <w:r>
        <w:rPr>
          <w:rFonts w:ascii="新宋体" w:cs="新宋体" w:eastAsia="新宋体" w:hAnsi="新宋体"/>
          <w:sz w:val="28"/>
          <w:szCs w:val="28"/>
          <w:color w:val="auto"/>
        </w:rPr>
        <w:t>．对方当事人作为款物接收人而要求变更接收人时，必须有书面变更</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协议。严禁未取得对方当事人的书面材料而凭口头约定向已变更的接收人</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发货或付款。</w:t>
      </w:r>
    </w:p>
    <w:p>
      <w:pPr>
        <w:spacing w:after="0" w:line="345" w:lineRule="exact"/>
        <w:rPr>
          <w:sz w:val="20"/>
          <w:szCs w:val="20"/>
          <w:color w:val="auto"/>
        </w:rPr>
      </w:pPr>
    </w:p>
    <w:p>
      <w:pPr>
        <w:jc w:val="both"/>
        <w:ind w:right="140" w:firstLine="561"/>
        <w:spacing w:after="0" w:line="509" w:lineRule="exact"/>
        <w:tabs>
          <w:tab w:leader="none" w:pos="982" w:val="left"/>
        </w:tabs>
        <w:numPr>
          <w:ilvl w:val="0"/>
          <w:numId w:val="10"/>
        </w:numPr>
        <w:rPr>
          <w:rFonts w:ascii="Courier New" w:cs="Courier New" w:eastAsia="Courier New" w:hAnsi="Courier New"/>
          <w:sz w:val="28"/>
          <w:szCs w:val="28"/>
          <w:color w:val="auto"/>
        </w:rPr>
      </w:pPr>
      <w:r>
        <w:rPr>
          <w:rFonts w:ascii="新宋体" w:cs="新宋体" w:eastAsia="新宋体" w:hAnsi="新宋体"/>
          <w:sz w:val="28"/>
          <w:szCs w:val="28"/>
          <w:color w:val="auto"/>
        </w:rPr>
        <w:t>我方当事人遇有不可抗力或者其他原因无法履行合同时，应当及时收集有关证据，并立即以书面形式通知对方当事人，同时积极采取补救措施，减少损失。</w:t>
      </w:r>
    </w:p>
    <w:p>
      <w:pPr>
        <w:spacing w:after="0" w:line="262"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发现对方当事人不履行或不完全履行合同时，合同承办人应当催促</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对方当事人采取有效补救措施，收集、保存对方当事人不履行合同的有关</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证据，及时向信用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管理机构报告。</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5.</w:t>
      </w:r>
      <w:r>
        <w:rPr>
          <w:rFonts w:ascii="新宋体" w:cs="新宋体" w:eastAsia="新宋体" w:hAnsi="新宋体"/>
          <w:sz w:val="28"/>
          <w:szCs w:val="28"/>
          <w:color w:val="auto"/>
        </w:rPr>
        <w:t>我方当事人因故变更或解除合同，应当及时以书面形式通知对方当</w:t>
      </w:r>
    </w:p>
    <w:p>
      <w:pPr>
        <w:sectPr>
          <w:pgSz w:w="11900" w:h="16840" w:orient="portrait"/>
          <w:cols w:equalWidth="0" w:num="1">
            <w:col w:w="9140"/>
          </w:cols>
          <w:pgMar w:left="1440" w:top="1440" w:right="1324" w:bottom="1440" w:gutter="0" w:footer="0" w:header="0"/>
        </w:sectPr>
      </w:pPr>
    </w:p>
    <w:bookmarkStart w:id="17" w:name="page18"/>
    <w:bookmarkEnd w:id="17"/>
    <w:p>
      <w:pPr>
        <w:spacing w:after="0" w:line="13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320" w:lineRule="exact"/>
        <w:rPr>
          <w:sz w:val="20"/>
          <w:szCs w:val="20"/>
          <w:color w:val="auto"/>
        </w:rPr>
      </w:pPr>
      <w:r>
        <w:rPr>
          <w:rFonts w:ascii="新宋体" w:cs="新宋体" w:eastAsia="新宋体" w:hAnsi="新宋体"/>
          <w:sz w:val="28"/>
          <w:szCs w:val="28"/>
          <w:color w:val="auto"/>
        </w:rPr>
        <w:t>事人，说明变更或解除合同的原因和请求对方书面答复的期限，尽快与对</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方当事人达成变更或解除合同的协议。</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2520"/>
        <w:spacing w:after="0" w:line="411" w:lineRule="exact"/>
        <w:rPr>
          <w:sz w:val="20"/>
          <w:szCs w:val="20"/>
          <w:color w:val="auto"/>
        </w:rPr>
      </w:pPr>
      <w:r>
        <w:rPr>
          <w:rFonts w:ascii="黑体" w:cs="黑体" w:eastAsia="黑体" w:hAnsi="黑体"/>
          <w:sz w:val="36"/>
          <w:szCs w:val="36"/>
          <w:color w:val="auto"/>
        </w:rPr>
        <w:t>企业信用(合同)管理制度</w:t>
      </w:r>
    </w:p>
    <w:p>
      <w:pPr>
        <w:spacing w:after="0" w:line="213" w:lineRule="exact"/>
        <w:rPr>
          <w:sz w:val="20"/>
          <w:szCs w:val="20"/>
          <w:color w:val="auto"/>
        </w:rPr>
      </w:pPr>
    </w:p>
    <w:p>
      <w:pPr>
        <w:ind w:left="2520"/>
        <w:spacing w:after="0" w:line="411" w:lineRule="exact"/>
        <w:rPr>
          <w:sz w:val="20"/>
          <w:szCs w:val="20"/>
          <w:color w:val="auto"/>
        </w:rPr>
      </w:pPr>
      <w:r>
        <w:rPr>
          <w:rFonts w:ascii="黑体" w:cs="黑体" w:eastAsia="黑体" w:hAnsi="黑体"/>
          <w:sz w:val="36"/>
          <w:szCs w:val="36"/>
          <w:color w:val="auto"/>
        </w:rPr>
        <w:t>客户授信与年审评价制度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w:t>
      </w:r>
      <w:r>
        <w:rPr>
          <w:rFonts w:ascii="新宋体" w:cs="新宋体" w:eastAsia="新宋体" w:hAnsi="新宋体"/>
          <w:sz w:val="27"/>
          <w:szCs w:val="27"/>
          <w:color w:val="auto"/>
        </w:rPr>
        <w:t>．信用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管理机构加强与各业务部门的联系沟通，及时掌握客户</w:t>
      </w:r>
    </w:p>
    <w:p>
      <w:pPr>
        <w:spacing w:after="0" w:line="221" w:lineRule="exact"/>
        <w:rPr>
          <w:sz w:val="20"/>
          <w:szCs w:val="20"/>
          <w:color w:val="auto"/>
        </w:rPr>
      </w:pPr>
    </w:p>
    <w:p>
      <w:pPr>
        <w:spacing w:after="0" w:line="339" w:lineRule="exact"/>
        <w:rPr>
          <w:sz w:val="20"/>
          <w:szCs w:val="20"/>
          <w:color w:val="auto"/>
        </w:rPr>
      </w:pPr>
      <w:r>
        <w:rPr>
          <w:rFonts w:ascii="新宋体" w:cs="新宋体" w:eastAsia="新宋体" w:hAnsi="新宋体"/>
          <w:sz w:val="26"/>
          <w:szCs w:val="26"/>
          <w:color w:val="auto"/>
        </w:rPr>
        <w:t>的信用信息，对客户实行分级管理，将客户的信用等级分为</w:t>
      </w:r>
      <w:r>
        <w:rPr>
          <w:rFonts w:ascii="Courier New" w:cs="Courier New" w:eastAsia="Courier New" w:hAnsi="Courier New"/>
          <w:sz w:val="26"/>
          <w:szCs w:val="26"/>
          <w:color w:val="auto"/>
        </w:rPr>
        <w:t xml:space="preserve"> A</w:t>
      </w:r>
      <w:r>
        <w:rPr>
          <w:rFonts w:ascii="新宋体" w:cs="新宋体" w:eastAsia="新宋体" w:hAnsi="新宋体"/>
          <w:sz w:val="26"/>
          <w:szCs w:val="26"/>
          <w:color w:val="auto"/>
        </w:rPr>
        <w:t>、</w:t>
      </w:r>
      <w:r>
        <w:rPr>
          <w:rFonts w:ascii="Courier New" w:cs="Courier New" w:eastAsia="Courier New" w:hAnsi="Courier New"/>
          <w:sz w:val="26"/>
          <w:szCs w:val="26"/>
          <w:color w:val="auto"/>
        </w:rPr>
        <w:t>B</w:t>
      </w:r>
      <w:r>
        <w:rPr>
          <w:rFonts w:ascii="新宋体" w:cs="新宋体" w:eastAsia="新宋体" w:hAnsi="新宋体"/>
          <w:sz w:val="26"/>
          <w:szCs w:val="26"/>
          <w:color w:val="auto"/>
        </w:rPr>
        <w:t>、</w:t>
      </w:r>
      <w:r>
        <w:rPr>
          <w:rFonts w:ascii="Courier New" w:cs="Courier New" w:eastAsia="Courier New" w:hAnsi="Courier New"/>
          <w:sz w:val="26"/>
          <w:szCs w:val="26"/>
          <w:color w:val="auto"/>
        </w:rPr>
        <w:t>C</w:t>
      </w:r>
      <w:r>
        <w:rPr>
          <w:rFonts w:ascii="新宋体" w:cs="新宋体" w:eastAsia="新宋体" w:hAnsi="新宋体"/>
          <w:sz w:val="26"/>
          <w:szCs w:val="26"/>
          <w:color w:val="auto"/>
        </w:rPr>
        <w:t>、</w:t>
      </w:r>
      <w:r>
        <w:rPr>
          <w:rFonts w:ascii="Courier New" w:cs="Courier New" w:eastAsia="Courier New" w:hAnsi="Courier New"/>
          <w:sz w:val="26"/>
          <w:szCs w:val="26"/>
          <w:color w:val="auto"/>
        </w:rPr>
        <w:t xml:space="preserve">D </w:t>
      </w:r>
      <w:r>
        <w:rPr>
          <w:rFonts w:ascii="新宋体" w:cs="新宋体" w:eastAsia="新宋体" w:hAnsi="新宋体"/>
          <w:sz w:val="26"/>
          <w:szCs w:val="26"/>
          <w:color w:val="auto"/>
        </w:rPr>
        <w:t>四</w:t>
      </w:r>
    </w:p>
    <w:p>
      <w:pPr>
        <w:spacing w:after="0" w:line="242"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级，分别制订不同信用等级所对应的信用额度、信用期限、信用折扣。</w:t>
      </w:r>
    </w:p>
    <w:p>
      <w:pPr>
        <w:spacing w:after="0" w:line="208"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管理机构负责建立每位客户包括名称、住所、法定代表</w:t>
      </w:r>
    </w:p>
    <w:p>
      <w:pPr>
        <w:spacing w:after="0" w:line="208" w:lineRule="exact"/>
        <w:rPr>
          <w:sz w:val="20"/>
          <w:szCs w:val="20"/>
          <w:color w:val="auto"/>
        </w:rPr>
      </w:pPr>
    </w:p>
    <w:p>
      <w:pPr>
        <w:spacing w:after="0" w:line="352" w:lineRule="exact"/>
        <w:rPr>
          <w:sz w:val="20"/>
          <w:szCs w:val="20"/>
          <w:color w:val="auto"/>
        </w:rPr>
      </w:pPr>
      <w:r>
        <w:rPr>
          <w:rFonts w:ascii="新宋体" w:cs="新宋体" w:eastAsia="新宋体" w:hAnsi="新宋体"/>
          <w:sz w:val="27"/>
          <w:szCs w:val="27"/>
          <w:color w:val="auto"/>
        </w:rPr>
        <w:t>人、注册资金、电话、信用标准</w:t>
      </w:r>
      <w:r>
        <w:rPr>
          <w:rFonts w:ascii="Courier New" w:cs="Courier New" w:eastAsia="Courier New" w:hAnsi="Courier New"/>
          <w:sz w:val="27"/>
          <w:szCs w:val="27"/>
          <w:color w:val="auto"/>
        </w:rPr>
        <w:t>(</w:t>
      </w:r>
      <w:r>
        <w:rPr>
          <w:rFonts w:ascii="新宋体" w:cs="新宋体" w:eastAsia="新宋体" w:hAnsi="新宋体"/>
          <w:sz w:val="27"/>
          <w:szCs w:val="27"/>
          <w:color w:val="auto"/>
        </w:rPr>
        <w:t>对客户资信情况进行要求的最低标准</w:t>
      </w:r>
      <w:r>
        <w:rPr>
          <w:rFonts w:ascii="Courier New" w:cs="Courier New" w:eastAsia="Courier New" w:hAnsi="Courier New"/>
          <w:sz w:val="27"/>
          <w:szCs w:val="27"/>
          <w:color w:val="auto"/>
        </w:rPr>
        <w:t>)</w:t>
      </w:r>
      <w:r>
        <w:rPr>
          <w:rFonts w:ascii="新宋体" w:cs="新宋体" w:eastAsia="新宋体" w:hAnsi="新宋体"/>
          <w:sz w:val="27"/>
          <w:szCs w:val="27"/>
          <w:color w:val="auto"/>
        </w:rPr>
        <w:t>、</w:t>
      </w:r>
    </w:p>
    <w:p>
      <w:pPr>
        <w:sectPr>
          <w:pgSz w:w="11900" w:h="16840" w:orient="portrait"/>
          <w:cols w:equalWidth="0" w:num="1">
            <w:col w:w="9024"/>
          </w:cols>
          <w:pgMar w:left="1440" w:top="1440" w:right="1440" w:bottom="877" w:gutter="0" w:footer="0" w:header="0"/>
        </w:sectPr>
      </w:pPr>
    </w:p>
    <w:bookmarkStart w:id="18" w:name="page19"/>
    <w:bookmarkEnd w:id="18"/>
    <w:p>
      <w:pPr>
        <w:spacing w:after="0" w:line="16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spacing w:after="0" w:line="320" w:lineRule="exact"/>
        <w:rPr>
          <w:sz w:val="20"/>
          <w:szCs w:val="20"/>
          <w:color w:val="auto"/>
        </w:rPr>
      </w:pPr>
      <w:r>
        <w:rPr>
          <w:rFonts w:ascii="新宋体" w:cs="新宋体" w:eastAsia="新宋体" w:hAnsi="新宋体"/>
          <w:sz w:val="28"/>
          <w:szCs w:val="28"/>
          <w:color w:val="auto"/>
        </w:rPr>
        <w:t>信用等级内容的表单，并及时进行动态更新。</w:t>
      </w:r>
    </w:p>
    <w:p>
      <w:pPr>
        <w:spacing w:after="0" w:line="208"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3</w:t>
      </w:r>
      <w:r>
        <w:rPr>
          <w:rFonts w:ascii="新宋体" w:cs="新宋体" w:eastAsia="新宋体" w:hAnsi="新宋体"/>
          <w:sz w:val="27"/>
          <w:szCs w:val="27"/>
          <w:color w:val="auto"/>
        </w:rPr>
        <w:t>．信用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管理机构负责制定客户信用申请表、客户调查表、客户</w:t>
      </w:r>
    </w:p>
    <w:p>
      <w:pPr>
        <w:spacing w:after="0" w:line="242"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信用审批表、回复客户的标准信函等表格；受理客户信用申请；采用对客</w:t>
      </w:r>
    </w:p>
    <w:p>
      <w:pPr>
        <w:spacing w:after="0" w:line="240"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户进行走访、调查、向有关部门收集客户资信状况资料等方式掌握客户信</w:t>
      </w:r>
    </w:p>
    <w:p>
      <w:pPr>
        <w:spacing w:after="0" w:line="240"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息，填写客户调查表，对客户进行信用评级，报主管副总审批后，确定信</w:t>
      </w:r>
    </w:p>
    <w:p>
      <w:pPr>
        <w:spacing w:after="0" w:line="242"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用等级，并及时回复客户。</w:t>
      </w:r>
    </w:p>
    <w:p>
      <w:pPr>
        <w:spacing w:after="0" w:line="195"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．对客户实行跟踪管理，补充客户信用信息，每年末对客户的信用状</w:t>
      </w:r>
    </w:p>
    <w:p>
      <w:pPr>
        <w:spacing w:after="0" w:line="240"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况进行汇总分析，形成书面的年审评价报告，并根据年审报告及时调整客</w:t>
      </w:r>
    </w:p>
    <w:p>
      <w:pPr>
        <w:spacing w:after="0" w:line="242"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户信用等级与授信额度。</w:t>
      </w:r>
    </w:p>
    <w:p>
      <w:pPr>
        <w:spacing w:after="0" w:line="280" w:lineRule="exact"/>
        <w:rPr>
          <w:sz w:val="20"/>
          <w:szCs w:val="20"/>
          <w:color w:val="auto"/>
        </w:rPr>
      </w:pPr>
    </w:p>
    <w:p>
      <w:pPr>
        <w:jc w:val="both"/>
        <w:ind w:right="140" w:firstLine="561"/>
        <w:spacing w:after="0" w:line="466" w:lineRule="exact"/>
        <w:tabs>
          <w:tab w:leader="none" w:pos="982" w:val="left"/>
        </w:tabs>
        <w:numPr>
          <w:ilvl w:val="0"/>
          <w:numId w:val="11"/>
        </w:numPr>
        <w:rPr>
          <w:rFonts w:ascii="Courier New" w:cs="Courier New" w:eastAsia="Courier New" w:hAnsi="Courier New"/>
          <w:sz w:val="28"/>
          <w:szCs w:val="28"/>
          <w:color w:val="auto"/>
        </w:rPr>
      </w:pPr>
      <w:r>
        <w:rPr>
          <w:rFonts w:ascii="新宋体" w:cs="新宋体" w:eastAsia="新宋体" w:hAnsi="新宋体"/>
          <w:sz w:val="28"/>
          <w:szCs w:val="28"/>
          <w:color w:val="auto"/>
        </w:rPr>
        <w:t>对延迟付清款物的客户，视情节轻重给予信用等级的降级处理；对恶意拖欠款物的客户授信额度为</w:t>
      </w:r>
      <w:r>
        <w:rPr>
          <w:rFonts w:ascii="Courier New" w:cs="Courier New" w:eastAsia="Courier New" w:hAnsi="Courier New"/>
          <w:sz w:val="28"/>
          <w:szCs w:val="28"/>
          <w:color w:val="auto"/>
        </w:rPr>
        <w:t xml:space="preserve"> o</w:t>
      </w:r>
      <w:r>
        <w:rPr>
          <w:rFonts w:ascii="新宋体" w:cs="新宋体" w:eastAsia="新宋体" w:hAnsi="新宋体"/>
          <w:sz w:val="28"/>
          <w:szCs w:val="28"/>
          <w:color w:val="auto"/>
        </w:rPr>
        <w:t>，要求采用即时清结的方式或列入黑名单，拒绝业务往来。</w:t>
      </w:r>
    </w:p>
    <w:p>
      <w:pPr>
        <w:spacing w:after="0" w:line="283" w:lineRule="exact"/>
        <w:rPr>
          <w:sz w:val="20"/>
          <w:szCs w:val="20"/>
          <w:color w:val="auto"/>
        </w:rPr>
      </w:pPr>
    </w:p>
    <w:p>
      <w:pPr>
        <w:ind w:right="140" w:firstLine="561"/>
        <w:spacing w:after="0" w:line="419" w:lineRule="exact"/>
        <w:rPr>
          <w:sz w:val="20"/>
          <w:szCs w:val="20"/>
          <w:color w:val="auto"/>
        </w:rPr>
      </w:pPr>
      <w:r>
        <w:rPr>
          <w:rFonts w:ascii="Courier New" w:cs="Courier New" w:eastAsia="Courier New" w:hAnsi="Courier New"/>
          <w:sz w:val="27"/>
          <w:szCs w:val="27"/>
          <w:color w:val="auto"/>
        </w:rPr>
        <w:t>6</w:t>
      </w:r>
      <w:r>
        <w:rPr>
          <w:rFonts w:ascii="新宋体" w:cs="新宋体" w:eastAsia="新宋体" w:hAnsi="新宋体"/>
          <w:sz w:val="27"/>
          <w:szCs w:val="27"/>
          <w:color w:val="auto"/>
        </w:rPr>
        <w:t>．各业务人员应及时收集客户信息并向信用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管理机构反馈；信用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管理机构应定期将客户信用状况评价结果反馈厂各相关部门。</w:t>
      </w:r>
    </w:p>
    <w:p>
      <w:pPr>
        <w:spacing w:after="0" w:line="157" w:lineRule="exact"/>
        <w:rPr>
          <w:sz w:val="20"/>
          <w:szCs w:val="20"/>
          <w:color w:val="auto"/>
        </w:rPr>
      </w:pPr>
    </w:p>
    <w:p>
      <w:pPr>
        <w:jc w:val="center"/>
        <w:ind w:right="140"/>
        <w:spacing w:after="0" w:line="411" w:lineRule="exact"/>
        <w:rPr>
          <w:sz w:val="20"/>
          <w:szCs w:val="20"/>
          <w:color w:val="auto"/>
        </w:rPr>
      </w:pPr>
      <w:r>
        <w:rPr>
          <w:rFonts w:ascii="黑体" w:cs="黑体" w:eastAsia="黑体" w:hAnsi="黑体"/>
          <w:sz w:val="36"/>
          <w:szCs w:val="36"/>
          <w:color w:val="auto"/>
        </w:rPr>
        <w:t>企业信用(合同)管理制度</w:t>
      </w:r>
    </w:p>
    <w:p>
      <w:pPr>
        <w:spacing w:after="0" w:line="213" w:lineRule="exact"/>
        <w:rPr>
          <w:sz w:val="20"/>
          <w:szCs w:val="20"/>
          <w:color w:val="auto"/>
        </w:rPr>
      </w:pPr>
    </w:p>
    <w:p>
      <w:pPr>
        <w:jc w:val="center"/>
        <w:ind w:right="140"/>
        <w:spacing w:after="0" w:line="411" w:lineRule="exact"/>
        <w:rPr>
          <w:sz w:val="20"/>
          <w:szCs w:val="20"/>
          <w:color w:val="auto"/>
        </w:rPr>
      </w:pPr>
      <w:r>
        <w:rPr>
          <w:rFonts w:ascii="黑体" w:cs="黑体" w:eastAsia="黑体" w:hAnsi="黑体"/>
          <w:sz w:val="36"/>
          <w:szCs w:val="36"/>
          <w:color w:val="auto"/>
        </w:rPr>
        <w:t>客户信用档案建立与管理制度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1.</w:t>
      </w:r>
      <w:r>
        <w:rPr>
          <w:rFonts w:ascii="新宋体" w:cs="新宋体" w:eastAsia="新宋体" w:hAnsi="新宋体"/>
          <w:sz w:val="28"/>
          <w:szCs w:val="28"/>
          <w:color w:val="auto"/>
        </w:rPr>
        <w:t>建立完整的合同档案。档案资料包括以下内容：</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谈判记录、可行性研究报告和报审及批准文件；</w:t>
      </w:r>
    </w:p>
    <w:p>
      <w:pPr>
        <w:spacing w:after="0" w:line="316" w:lineRule="exact"/>
        <w:rPr>
          <w:sz w:val="20"/>
          <w:szCs w:val="20"/>
          <w:color w:val="auto"/>
        </w:rPr>
      </w:pPr>
    </w:p>
    <w:p>
      <w:pPr>
        <w:ind w:left="560"/>
        <w:spacing w:after="0" w:line="308" w:lineRule="exact"/>
        <w:rPr>
          <w:sz w:val="20"/>
          <w:szCs w:val="20"/>
          <w:color w:val="auto"/>
        </w:rPr>
      </w:pPr>
      <w:r>
        <w:rPr>
          <w:rFonts w:ascii="新宋体" w:cs="新宋体" w:eastAsia="新宋体" w:hAnsi="新宋体"/>
          <w:sz w:val="27"/>
          <w:szCs w:val="27"/>
          <w:color w:val="auto"/>
        </w:rPr>
        <w:t>对方当事人的法人营业执照、营业执照、事业法人执照的副本复印件；</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对方当事人履约能力证明资料复印件；</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对方当事人的法定代表人或合同承办人的职务资格证明、个人身份</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证明、介绍信、授权委托书的原件或复印件；</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我方当事人的法定代表人的授权委托书的原件和复印件；</w:t>
      </w:r>
    </w:p>
    <w:p>
      <w:pPr>
        <w:sectPr>
          <w:pgSz w:w="11900" w:h="16840" w:orient="portrait"/>
          <w:cols w:equalWidth="0" w:num="1">
            <w:col w:w="9140"/>
          </w:cols>
          <w:pgMar w:left="1440" w:top="1440" w:right="1324" w:bottom="928" w:gutter="0" w:footer="0" w:header="0"/>
        </w:sectPr>
      </w:pPr>
    </w:p>
    <w:bookmarkStart w:id="19" w:name="page20"/>
    <w:bookmarkEnd w:id="19"/>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对方当事人的担保人的担保能力和主体资格证明资料的复印件；</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双方签订或履行合同的往来电报、电传、信函、电话记录等书面材</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料和视听材料；</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登记、鉴证、公证等文书资料；合同正本、副本及变更、解除合同</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的书面协议；</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标的验收记录；交接、收付标的、款项的原始凭证复印件。</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．厂内所有合同都必须按部门编号。信用</w:t>
      </w:r>
      <w:r>
        <w:rPr>
          <w:rFonts w:ascii="Courier New" w:cs="Courier New" w:eastAsia="Courier New" w:hAnsi="Courier New"/>
          <w:sz w:val="27"/>
          <w:szCs w:val="27"/>
          <w:color w:val="auto"/>
        </w:rPr>
        <w:t>(</w:t>
      </w:r>
      <w:r>
        <w:rPr>
          <w:rFonts w:ascii="新宋体" w:cs="新宋体" w:eastAsia="新宋体" w:hAnsi="新宋体"/>
          <w:sz w:val="27"/>
          <w:szCs w:val="27"/>
          <w:color w:val="auto"/>
        </w:rPr>
        <w:t>合同</w:t>
      </w:r>
      <w:r>
        <w:rPr>
          <w:rFonts w:ascii="Courier New" w:cs="Courier New" w:eastAsia="Courier New" w:hAnsi="Courier New"/>
          <w:sz w:val="27"/>
          <w:szCs w:val="27"/>
          <w:color w:val="auto"/>
        </w:rPr>
        <w:t>)</w:t>
      </w:r>
      <w:r>
        <w:rPr>
          <w:rFonts w:ascii="新宋体" w:cs="新宋体" w:eastAsia="新宋体" w:hAnsi="新宋体"/>
          <w:sz w:val="27"/>
          <w:szCs w:val="27"/>
          <w:color w:val="auto"/>
        </w:rPr>
        <w:t>管理员负责建立和保</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存合同管理台帐。</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3</w:t>
      </w:r>
      <w:r>
        <w:rPr>
          <w:rFonts w:ascii="新宋体" w:cs="新宋体" w:eastAsia="新宋体" w:hAnsi="新宋体"/>
          <w:sz w:val="28"/>
          <w:szCs w:val="28"/>
          <w:color w:val="auto"/>
        </w:rPr>
        <w:t>．合同承办人办理完毕签订、变更、履行及解除合同的各项手续后一</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个月内，应将合同档案资料移交信用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管理员对</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合同档案资料核实后一个月内移交档案室归档。</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．各部门应于每年的一月十日和七月十日前将本厂管辖范围内上年度</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和本年度上半年的合同统计报表报送厂信用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5</w:t>
      </w:r>
      <w:r>
        <w:rPr>
          <w:rFonts w:ascii="新宋体" w:cs="新宋体" w:eastAsia="新宋体" w:hAnsi="新宋体"/>
          <w:sz w:val="28"/>
          <w:szCs w:val="28"/>
          <w:color w:val="auto"/>
        </w:rPr>
        <w:t>．建立完整的客户信用资料，包括客户信用申请表、客户调查表、客</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户信用审批表、回复客户的标准函、客户信用表单、授信资料、年审评价</w:t>
      </w:r>
    </w:p>
    <w:p>
      <w:pPr>
        <w:spacing w:after="0" w:line="316" w:lineRule="exact"/>
        <w:rPr>
          <w:sz w:val="20"/>
          <w:szCs w:val="20"/>
          <w:color w:val="auto"/>
        </w:rPr>
      </w:pPr>
    </w:p>
    <w:p>
      <w:pPr>
        <w:spacing w:after="0" w:line="308" w:lineRule="exact"/>
        <w:rPr>
          <w:sz w:val="20"/>
          <w:szCs w:val="20"/>
          <w:color w:val="auto"/>
        </w:rPr>
      </w:pPr>
      <w:r>
        <w:rPr>
          <w:rFonts w:ascii="新宋体" w:cs="新宋体" w:eastAsia="新宋体" w:hAnsi="新宋体"/>
          <w:sz w:val="27"/>
          <w:szCs w:val="27"/>
          <w:color w:val="auto"/>
        </w:rPr>
        <w:t>报告等，并附客户概况、付款习惯、财务状况、商账追讨记录、往来银行、</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经营状况等调查原始资料。</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6</w:t>
      </w:r>
      <w:r>
        <w:rPr>
          <w:rFonts w:ascii="新宋体" w:cs="新宋体" w:eastAsia="新宋体" w:hAnsi="新宋体"/>
          <w:sz w:val="27"/>
          <w:szCs w:val="27"/>
          <w:color w:val="auto"/>
        </w:rPr>
        <w:t>．客户信用档案的查阅需填写查阅申请单标明查阅人、查阅客户名称、</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查阅用途，由档案管理员填写借阅时间、归还日期。信用档案的缺失以及</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涉及商业秘密内容的泄漏要追究相关当事人的责任。</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7</w:t>
      </w:r>
      <w:r>
        <w:rPr>
          <w:rFonts w:ascii="新宋体" w:cs="新宋体" w:eastAsia="新宋体" w:hAnsi="新宋体"/>
          <w:sz w:val="28"/>
          <w:szCs w:val="28"/>
          <w:color w:val="auto"/>
        </w:rPr>
        <w:t>．配备大专以上学历，具有数据库检索服务的能力和经验的人员任专</w:t>
      </w:r>
    </w:p>
    <w:p>
      <w:pPr>
        <w:spacing w:after="0" w:line="260" w:lineRule="exact"/>
        <w:rPr>
          <w:sz w:val="20"/>
          <w:szCs w:val="20"/>
          <w:color w:val="auto"/>
        </w:rPr>
      </w:pPr>
    </w:p>
    <w:p>
      <w:pPr>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兼</w:t>
      </w:r>
      <w:r>
        <w:rPr>
          <w:rFonts w:ascii="Courier New" w:cs="Courier New" w:eastAsia="Courier New" w:hAnsi="Courier New"/>
          <w:sz w:val="28"/>
          <w:szCs w:val="28"/>
          <w:color w:val="auto"/>
        </w:rPr>
        <w:t>)</w:t>
      </w:r>
      <w:r>
        <w:rPr>
          <w:rFonts w:ascii="新宋体" w:cs="新宋体" w:eastAsia="新宋体" w:hAnsi="新宋体"/>
          <w:sz w:val="28"/>
          <w:szCs w:val="28"/>
          <w:color w:val="auto"/>
        </w:rPr>
        <w:t>职档案管理员。</w:t>
      </w:r>
    </w:p>
    <w:p>
      <w:pPr>
        <w:sectPr>
          <w:pgSz w:w="11900" w:h="16840" w:orient="portrait"/>
          <w:cols w:equalWidth="0" w:num="1">
            <w:col w:w="9140"/>
          </w:cols>
          <w:pgMar w:left="1440" w:top="1440" w:right="1324" w:bottom="1440" w:gutter="0" w:footer="0" w:header="0"/>
        </w:sectPr>
      </w:pPr>
    </w:p>
    <w:bookmarkStart w:id="20" w:name="page21"/>
    <w:bookmarkEnd w:id="20"/>
    <w:p>
      <w:pPr>
        <w:spacing w:after="0" w:line="10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52" w:lineRule="exact"/>
        <w:rPr>
          <w:sz w:val="20"/>
          <w:szCs w:val="20"/>
          <w:color w:val="auto"/>
        </w:rPr>
      </w:pPr>
      <w:r>
        <w:rPr>
          <w:rFonts w:ascii="Courier New" w:cs="Courier New" w:eastAsia="Courier New" w:hAnsi="Courier New"/>
          <w:sz w:val="27"/>
          <w:szCs w:val="27"/>
          <w:color w:val="auto"/>
        </w:rPr>
        <w:t>8</w:t>
      </w:r>
      <w:r>
        <w:rPr>
          <w:rFonts w:ascii="新宋体" w:cs="新宋体" w:eastAsia="新宋体" w:hAnsi="新宋体"/>
          <w:sz w:val="27"/>
          <w:szCs w:val="27"/>
          <w:color w:val="auto"/>
        </w:rPr>
        <w:t>．档案管理员必须经过企业信用管理专业知识培训，考核合格后方可</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上岗。</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ind w:right="100"/>
        <w:spacing w:after="0" w:line="411" w:lineRule="exact"/>
        <w:rPr>
          <w:sz w:val="20"/>
          <w:szCs w:val="20"/>
          <w:color w:val="auto"/>
        </w:rPr>
      </w:pPr>
      <w:r>
        <w:rPr>
          <w:rFonts w:ascii="黑体" w:cs="黑体" w:eastAsia="黑体" w:hAnsi="黑体"/>
          <w:sz w:val="36"/>
          <w:szCs w:val="36"/>
          <w:color w:val="auto"/>
        </w:rPr>
        <w:t>企业信用(合同)管理制度</w:t>
      </w:r>
    </w:p>
    <w:p>
      <w:pPr>
        <w:spacing w:after="0" w:line="213" w:lineRule="exact"/>
        <w:rPr>
          <w:sz w:val="20"/>
          <w:szCs w:val="20"/>
          <w:color w:val="auto"/>
        </w:rPr>
      </w:pPr>
    </w:p>
    <w:p>
      <w:pPr>
        <w:jc w:val="center"/>
        <w:ind w:right="100"/>
        <w:spacing w:after="0" w:line="411" w:lineRule="exact"/>
        <w:rPr>
          <w:sz w:val="20"/>
          <w:szCs w:val="20"/>
          <w:color w:val="auto"/>
        </w:rPr>
      </w:pPr>
      <w:r>
        <w:rPr>
          <w:rFonts w:ascii="黑体" w:cs="黑体" w:eastAsia="黑体" w:hAnsi="黑体"/>
          <w:sz w:val="36"/>
          <w:szCs w:val="36"/>
          <w:color w:val="auto"/>
        </w:rPr>
        <w:t>应收账款与商账追收管理制度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1</w:t>
      </w:r>
      <w:r>
        <w:rPr>
          <w:rFonts w:ascii="新宋体" w:cs="新宋体" w:eastAsia="新宋体" w:hAnsi="新宋体"/>
          <w:sz w:val="27"/>
          <w:szCs w:val="27"/>
          <w:color w:val="auto"/>
        </w:rPr>
        <w:t>．建立应收账款帐目，明确应收货款，分期应收账款和应收票据的数</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额、期限、应付款人等内容。</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2</w:t>
      </w:r>
      <w:r>
        <w:rPr>
          <w:rFonts w:ascii="新宋体" w:cs="新宋体" w:eastAsia="新宋体" w:hAnsi="新宋体"/>
          <w:sz w:val="27"/>
          <w:szCs w:val="27"/>
          <w:color w:val="auto"/>
        </w:rPr>
        <w:t>．建立应收账款账龄分析分级表，将应收账款按账龄分为合同期内、</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进入预警期内、到期、逾期、进入最后通牒期、进入专业追账期、付诸法</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律期和坏账期八级，制订相应的催收措施。</w:t>
      </w:r>
    </w:p>
    <w:p>
      <w:pPr>
        <w:spacing w:after="0" w:line="273" w:lineRule="exact"/>
        <w:rPr>
          <w:sz w:val="20"/>
          <w:szCs w:val="20"/>
          <w:color w:val="auto"/>
        </w:rPr>
      </w:pPr>
    </w:p>
    <w:p>
      <w:pPr>
        <w:ind w:left="560"/>
        <w:spacing w:after="0" w:line="352" w:lineRule="exact"/>
        <w:rPr>
          <w:sz w:val="20"/>
          <w:szCs w:val="20"/>
          <w:color w:val="auto"/>
        </w:rPr>
      </w:pPr>
      <w:r>
        <w:rPr>
          <w:rFonts w:ascii="Courier New" w:cs="Courier New" w:eastAsia="Courier New" w:hAnsi="Courier New"/>
          <w:sz w:val="27"/>
          <w:szCs w:val="27"/>
          <w:color w:val="auto"/>
        </w:rPr>
        <w:t>3</w:t>
      </w:r>
      <w:r>
        <w:rPr>
          <w:rFonts w:ascii="新宋体" w:cs="新宋体" w:eastAsia="新宋体" w:hAnsi="新宋体"/>
          <w:sz w:val="27"/>
          <w:szCs w:val="27"/>
          <w:color w:val="auto"/>
        </w:rPr>
        <w:t>．对应收账款加强日常监督，根据实际情况每周或每月打印出会计账</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上全部接近到期的应收账款记录进行分析和诊断，对每笔账款作出处理意</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见。</w:t>
      </w:r>
    </w:p>
    <w:p>
      <w:pPr>
        <w:sectPr>
          <w:pgSz w:w="11900" w:h="16840" w:orient="portrait"/>
          <w:cols w:equalWidth="0" w:num="1">
            <w:col w:w="9100"/>
          </w:cols>
          <w:pgMar w:left="1440" w:top="1440" w:right="1364" w:bottom="1440" w:gutter="0" w:footer="0" w:header="0"/>
        </w:sectPr>
      </w:pPr>
    </w:p>
    <w:bookmarkStart w:id="21" w:name="page22"/>
    <w:bookmarkEnd w:id="21"/>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700"/>
        <w:spacing w:after="0" w:line="365" w:lineRule="exact"/>
        <w:rPr>
          <w:sz w:val="20"/>
          <w:szCs w:val="20"/>
          <w:color w:val="auto"/>
        </w:rPr>
      </w:pPr>
      <w:r>
        <w:rPr>
          <w:rFonts w:ascii="Courier New" w:cs="Courier New" w:eastAsia="Courier New" w:hAnsi="Courier New"/>
          <w:sz w:val="28"/>
          <w:szCs w:val="28"/>
          <w:color w:val="auto"/>
        </w:rPr>
        <w:t>4</w:t>
      </w:r>
      <w:r>
        <w:rPr>
          <w:rFonts w:ascii="新宋体" w:cs="新宋体" w:eastAsia="新宋体" w:hAnsi="新宋体"/>
          <w:sz w:val="28"/>
          <w:szCs w:val="28"/>
          <w:color w:val="auto"/>
        </w:rPr>
        <w:t>．制订商账</w:t>
      </w:r>
      <w:r>
        <w:rPr>
          <w:rFonts w:ascii="Courier New" w:cs="Courier New" w:eastAsia="Courier New" w:hAnsi="Courier New"/>
          <w:sz w:val="28"/>
          <w:szCs w:val="28"/>
          <w:color w:val="auto"/>
        </w:rPr>
        <w:t>(</w:t>
      </w:r>
      <w:r>
        <w:rPr>
          <w:rFonts w:ascii="新宋体" w:cs="新宋体" w:eastAsia="新宋体" w:hAnsi="新宋体"/>
          <w:sz w:val="28"/>
          <w:szCs w:val="28"/>
          <w:color w:val="auto"/>
        </w:rPr>
        <w:t>逾期应收账款</w:t>
      </w:r>
      <w:r>
        <w:rPr>
          <w:rFonts w:ascii="Courier New" w:cs="Courier New" w:eastAsia="Courier New" w:hAnsi="Courier New"/>
          <w:sz w:val="28"/>
          <w:szCs w:val="28"/>
          <w:color w:val="auto"/>
        </w:rPr>
        <w:t>)</w:t>
      </w:r>
      <w:r>
        <w:rPr>
          <w:rFonts w:ascii="新宋体" w:cs="新宋体" w:eastAsia="新宋体" w:hAnsi="新宋体"/>
          <w:sz w:val="28"/>
          <w:szCs w:val="28"/>
          <w:color w:val="auto"/>
        </w:rPr>
        <w:t>追收办法，培训催收、追收人员。</w:t>
      </w:r>
    </w:p>
    <w:p>
      <w:pPr>
        <w:spacing w:after="0" w:line="273" w:lineRule="exact"/>
        <w:rPr>
          <w:sz w:val="20"/>
          <w:szCs w:val="20"/>
          <w:color w:val="auto"/>
        </w:rPr>
      </w:pPr>
    </w:p>
    <w:p>
      <w:pPr>
        <w:ind w:left="680"/>
        <w:spacing w:after="0" w:line="352" w:lineRule="exact"/>
        <w:rPr>
          <w:sz w:val="20"/>
          <w:szCs w:val="20"/>
          <w:color w:val="auto"/>
        </w:rPr>
      </w:pPr>
      <w:r>
        <w:rPr>
          <w:rFonts w:ascii="Courier New" w:cs="Courier New" w:eastAsia="Courier New" w:hAnsi="Courier New"/>
          <w:sz w:val="27"/>
          <w:szCs w:val="27"/>
          <w:color w:val="auto"/>
        </w:rPr>
        <w:t>5</w:t>
      </w:r>
      <w:r>
        <w:rPr>
          <w:rFonts w:ascii="新宋体" w:cs="新宋体" w:eastAsia="新宋体" w:hAnsi="新宋体"/>
          <w:sz w:val="27"/>
          <w:szCs w:val="27"/>
          <w:color w:val="auto"/>
        </w:rPr>
        <w:t>．设计商账追收工作流程，包括内勤提示、外勤催收、委托专业信用</w:t>
      </w:r>
    </w:p>
    <w:p>
      <w:pPr>
        <w:spacing w:after="0" w:line="305" w:lineRule="exact"/>
        <w:rPr>
          <w:sz w:val="20"/>
          <w:szCs w:val="20"/>
          <w:color w:val="auto"/>
        </w:rPr>
      </w:pPr>
    </w:p>
    <w:p>
      <w:pPr>
        <w:ind w:left="120"/>
        <w:spacing w:after="0" w:line="320" w:lineRule="exact"/>
        <w:rPr>
          <w:sz w:val="20"/>
          <w:szCs w:val="20"/>
          <w:color w:val="auto"/>
        </w:rPr>
      </w:pPr>
      <w:r>
        <w:rPr>
          <w:rFonts w:ascii="新宋体" w:cs="新宋体" w:eastAsia="新宋体" w:hAnsi="新宋体"/>
          <w:sz w:val="28"/>
          <w:szCs w:val="28"/>
          <w:color w:val="auto"/>
        </w:rPr>
        <w:t>管理厂追收、法律诉讼。商账追收程序一般应包括下列步骤：</w:t>
      </w:r>
    </w:p>
    <w:p>
      <w:pPr>
        <w:spacing w:after="0" w:line="254" w:lineRule="exact"/>
        <w:rPr>
          <w:sz w:val="20"/>
          <w:szCs w:val="20"/>
          <w:color w:val="auto"/>
        </w:rPr>
      </w:pPr>
    </w:p>
    <w:p>
      <w:pPr>
        <w:jc w:val="center"/>
        <w:ind w:right="-95"/>
        <w:spacing w:after="0" w:line="411" w:lineRule="exact"/>
        <w:rPr>
          <w:sz w:val="20"/>
          <w:szCs w:val="20"/>
          <w:color w:val="auto"/>
        </w:rPr>
      </w:pPr>
      <w:r>
        <w:rPr>
          <w:rFonts w:ascii="黑体" w:cs="黑体" w:eastAsia="黑体" w:hAnsi="黑体"/>
          <w:sz w:val="36"/>
          <w:szCs w:val="36"/>
          <w:color w:val="auto"/>
        </w:rPr>
        <w:t>企业信用(合同)管理制度</w:t>
      </w:r>
    </w:p>
    <w:p>
      <w:pPr>
        <w:spacing w:after="0" w:line="213" w:lineRule="exact"/>
        <w:rPr>
          <w:sz w:val="20"/>
          <w:szCs w:val="20"/>
          <w:color w:val="auto"/>
        </w:rPr>
      </w:pPr>
    </w:p>
    <w:p>
      <w:pPr>
        <w:jc w:val="center"/>
        <w:ind w:right="-95"/>
        <w:spacing w:after="0" w:line="411" w:lineRule="exact"/>
        <w:rPr>
          <w:sz w:val="20"/>
          <w:szCs w:val="20"/>
          <w:color w:val="auto"/>
        </w:rPr>
      </w:pPr>
      <w:r>
        <w:rPr>
          <w:rFonts w:ascii="黑体" w:cs="黑体" w:eastAsia="黑体" w:hAnsi="黑体"/>
          <w:sz w:val="36"/>
          <w:szCs w:val="36"/>
          <w:color w:val="auto"/>
        </w:rPr>
        <w:t>失信违法行为责任追究制度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1100" w:hanging="421"/>
        <w:spacing w:after="0" w:line="365" w:lineRule="exact"/>
        <w:tabs>
          <w:tab w:leader="none" w:pos="1100" w:val="left"/>
        </w:tabs>
        <w:numPr>
          <w:ilvl w:val="0"/>
          <w:numId w:val="12"/>
        </w:numPr>
        <w:rPr>
          <w:rFonts w:ascii="Courier New" w:cs="Courier New" w:eastAsia="Courier New" w:hAnsi="Courier New"/>
          <w:sz w:val="28"/>
          <w:szCs w:val="28"/>
          <w:color w:val="auto"/>
        </w:rPr>
      </w:pPr>
      <w:r>
        <w:rPr>
          <w:rFonts w:ascii="新宋体" w:cs="新宋体" w:eastAsia="新宋体" w:hAnsi="新宋体"/>
          <w:sz w:val="28"/>
          <w:szCs w:val="28"/>
          <w:color w:val="auto"/>
        </w:rPr>
        <w:t>对方发生失信违法行为，可酌情采取下列措施：</w:t>
      </w:r>
    </w:p>
    <w:p>
      <w:pPr>
        <w:spacing w:after="0" w:line="260" w:lineRule="exact"/>
        <w:rPr>
          <w:sz w:val="20"/>
          <w:szCs w:val="20"/>
          <w:color w:val="auto"/>
        </w:rPr>
      </w:pPr>
    </w:p>
    <w:p>
      <w:pPr>
        <w:ind w:left="68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取消赊销条件；</w:t>
      </w:r>
    </w:p>
    <w:p>
      <w:pPr>
        <w:spacing w:after="0" w:line="260" w:lineRule="exact"/>
        <w:rPr>
          <w:sz w:val="20"/>
          <w:szCs w:val="20"/>
          <w:color w:val="auto"/>
        </w:rPr>
      </w:pPr>
    </w:p>
    <w:p>
      <w:pPr>
        <w:ind w:left="68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停止供货；</w:t>
      </w:r>
    </w:p>
    <w:p>
      <w:pPr>
        <w:spacing w:after="0" w:line="260" w:lineRule="exact"/>
        <w:rPr>
          <w:sz w:val="20"/>
          <w:szCs w:val="20"/>
          <w:color w:val="auto"/>
        </w:rPr>
      </w:pPr>
    </w:p>
    <w:p>
      <w:pPr>
        <w:ind w:left="68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取消供货资格；</w:t>
      </w:r>
    </w:p>
    <w:p>
      <w:pPr>
        <w:spacing w:after="0" w:line="260" w:lineRule="exact"/>
        <w:rPr>
          <w:sz w:val="20"/>
          <w:szCs w:val="20"/>
          <w:color w:val="auto"/>
        </w:rPr>
      </w:pPr>
    </w:p>
    <w:p>
      <w:pPr>
        <w:ind w:left="68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诉诸法律。</w:t>
      </w:r>
    </w:p>
    <w:p>
      <w:pPr>
        <w:spacing w:after="0" w:line="260" w:lineRule="exact"/>
        <w:rPr>
          <w:sz w:val="20"/>
          <w:szCs w:val="20"/>
          <w:color w:val="auto"/>
        </w:rPr>
      </w:pPr>
    </w:p>
    <w:p>
      <w:pPr>
        <w:ind w:left="1100" w:hanging="421"/>
        <w:spacing w:after="0" w:line="365" w:lineRule="exact"/>
        <w:tabs>
          <w:tab w:leader="none" w:pos="1100" w:val="left"/>
        </w:tabs>
        <w:numPr>
          <w:ilvl w:val="0"/>
          <w:numId w:val="13"/>
        </w:numPr>
        <w:rPr>
          <w:rFonts w:ascii="Courier New" w:cs="Courier New" w:eastAsia="Courier New" w:hAnsi="Courier New"/>
          <w:sz w:val="28"/>
          <w:szCs w:val="28"/>
          <w:color w:val="auto"/>
        </w:rPr>
      </w:pPr>
      <w:r>
        <w:rPr>
          <w:rFonts w:ascii="新宋体" w:cs="新宋体" w:eastAsia="新宋体" w:hAnsi="新宋体"/>
          <w:sz w:val="28"/>
          <w:szCs w:val="28"/>
          <w:color w:val="auto"/>
        </w:rPr>
        <w:t>本企业发生失信违法行为的可能表现形式与纠正措施表现形式：</w:t>
      </w:r>
    </w:p>
    <w:p>
      <w:pPr>
        <w:spacing w:after="0" w:line="260" w:lineRule="exact"/>
        <w:rPr>
          <w:sz w:val="20"/>
          <w:szCs w:val="20"/>
          <w:color w:val="auto"/>
        </w:rPr>
      </w:pPr>
    </w:p>
    <w:p>
      <w:pPr>
        <w:ind w:left="68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个人擅自以厂名义对外签订合同并违约或骗取款物；</w:t>
      </w:r>
    </w:p>
    <w:p>
      <w:pPr>
        <w:spacing w:after="0" w:line="260" w:lineRule="exact"/>
        <w:rPr>
          <w:sz w:val="20"/>
          <w:szCs w:val="20"/>
          <w:color w:val="auto"/>
        </w:rPr>
      </w:pPr>
    </w:p>
    <w:p>
      <w:pPr>
        <w:ind w:left="68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产品合格率未达标；</w:t>
      </w:r>
    </w:p>
    <w:p>
      <w:pPr>
        <w:spacing w:after="0" w:line="288" w:lineRule="exact"/>
        <w:rPr>
          <w:sz w:val="20"/>
          <w:szCs w:val="20"/>
          <w:color w:val="auto"/>
        </w:rPr>
      </w:pPr>
    </w:p>
    <w:tbl>
      <w:tblPr>
        <w:tblLayout w:type="fixed"/>
        <w:tblInd w:w="10" w:type="dxa"/>
        <w:tblCellMar>
          <w:top w:w="0" w:type="dxa"/>
          <w:left w:w="0" w:type="dxa"/>
          <w:bottom w:w="0" w:type="dxa"/>
          <w:right w:w="0" w:type="dxa"/>
        </w:tblCellMar>
      </w:tblPr>
      <w:tr>
        <w:trPr>
          <w:trHeight w:val="406"/>
        </w:trPr>
        <w:tc>
          <w:tcPr>
            <w:tcW w:w="720" w:type="dxa"/>
            <w:vAlign w:val="bottom"/>
            <w:tcBorders>
              <w:top w:val="single" w:sz="8" w:color="auto"/>
              <w:left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步骤</w:t>
            </w:r>
          </w:p>
        </w:tc>
        <w:tc>
          <w:tcPr>
            <w:tcW w:w="1980" w:type="dxa"/>
            <w:vAlign w:val="bottom"/>
            <w:tcBorders>
              <w:top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阶段</w:t>
            </w:r>
          </w:p>
        </w:tc>
        <w:tc>
          <w:tcPr>
            <w:tcW w:w="1360" w:type="dxa"/>
            <w:vAlign w:val="bottom"/>
            <w:tcBorders>
              <w:top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时间段</w:t>
            </w:r>
          </w:p>
        </w:tc>
        <w:tc>
          <w:tcPr>
            <w:tcW w:w="1780" w:type="dxa"/>
            <w:vAlign w:val="bottom"/>
            <w:tcBorders>
              <w:top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联系方法</w:t>
            </w:r>
          </w:p>
        </w:tc>
        <w:tc>
          <w:tcPr>
            <w:tcW w:w="3260" w:type="dxa"/>
            <w:vAlign w:val="bottom"/>
            <w:tcBorders>
              <w:top w:val="single" w:sz="8" w:color="auto"/>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催账形式</w:t>
            </w:r>
          </w:p>
        </w:tc>
        <w:tc>
          <w:tcPr>
            <w:tcW w:w="0" w:type="dxa"/>
            <w:vAlign w:val="bottom"/>
          </w:tcPr>
          <w:p>
            <w:pPr>
              <w:spacing w:after="0"/>
              <w:rPr>
                <w:sz w:val="1"/>
                <w:szCs w:val="1"/>
                <w:color w:val="auto"/>
              </w:rPr>
            </w:pPr>
          </w:p>
        </w:tc>
      </w:tr>
      <w:tr>
        <w:trPr>
          <w:trHeight w:val="159"/>
        </w:trPr>
        <w:tc>
          <w:tcPr>
            <w:tcW w:w="720" w:type="dxa"/>
            <w:vAlign w:val="bottom"/>
            <w:tcBorders>
              <w:left w:val="single" w:sz="8" w:color="auto"/>
              <w:bottom w:val="single" w:sz="8" w:color="auto"/>
              <w:right w:val="single" w:sz="8" w:color="auto"/>
            </w:tcBorders>
          </w:tcPr>
          <w:p>
            <w:pPr>
              <w:spacing w:after="0"/>
              <w:rPr>
                <w:sz w:val="13"/>
                <w:szCs w:val="13"/>
                <w:color w:val="auto"/>
              </w:rPr>
            </w:pPr>
          </w:p>
        </w:tc>
        <w:tc>
          <w:tcPr>
            <w:tcW w:w="1980" w:type="dxa"/>
            <w:vAlign w:val="bottom"/>
            <w:tcBorders>
              <w:bottom w:val="single" w:sz="8" w:color="auto"/>
              <w:right w:val="single" w:sz="8" w:color="auto"/>
            </w:tcBorders>
          </w:tcPr>
          <w:p>
            <w:pPr>
              <w:spacing w:after="0"/>
              <w:rPr>
                <w:sz w:val="13"/>
                <w:szCs w:val="13"/>
                <w:color w:val="auto"/>
              </w:rPr>
            </w:pPr>
          </w:p>
        </w:tc>
        <w:tc>
          <w:tcPr>
            <w:tcW w:w="1360" w:type="dxa"/>
            <w:vAlign w:val="bottom"/>
            <w:tcBorders>
              <w:bottom w:val="single" w:sz="8" w:color="auto"/>
              <w:right w:val="single" w:sz="8" w:color="auto"/>
            </w:tcBorders>
          </w:tcPr>
          <w:p>
            <w:pPr>
              <w:spacing w:after="0"/>
              <w:rPr>
                <w:sz w:val="13"/>
                <w:szCs w:val="13"/>
                <w:color w:val="auto"/>
              </w:rPr>
            </w:pPr>
          </w:p>
        </w:tc>
        <w:tc>
          <w:tcPr>
            <w:tcW w:w="1780" w:type="dxa"/>
            <w:vAlign w:val="bottom"/>
            <w:tcBorders>
              <w:bottom w:val="single" w:sz="8" w:color="auto"/>
              <w:right w:val="single" w:sz="8" w:color="auto"/>
            </w:tcBorders>
          </w:tcPr>
          <w:p>
            <w:pPr>
              <w:spacing w:after="0"/>
              <w:rPr>
                <w:sz w:val="13"/>
                <w:szCs w:val="13"/>
                <w:color w:val="auto"/>
              </w:rPr>
            </w:pPr>
          </w:p>
        </w:tc>
        <w:tc>
          <w:tcPr>
            <w:tcW w:w="326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68"/>
        </w:trPr>
        <w:tc>
          <w:tcPr>
            <w:tcW w:w="720" w:type="dxa"/>
            <w:vAlign w:val="bottom"/>
            <w:tcBorders>
              <w:left w:val="single" w:sz="8" w:color="auto"/>
              <w:right w:val="single" w:sz="8" w:color="auto"/>
            </w:tcBorders>
            <w:vMerge w:val="restart"/>
          </w:tcPr>
          <w:p>
            <w:pPr>
              <w:ind w:left="300"/>
              <w:spacing w:after="0"/>
              <w:rPr>
                <w:sz w:val="20"/>
                <w:szCs w:val="20"/>
                <w:color w:val="auto"/>
              </w:rPr>
            </w:pPr>
            <w:r>
              <w:rPr>
                <w:rFonts w:ascii="Courier New" w:cs="Courier New" w:eastAsia="Courier New" w:hAnsi="Courier New"/>
                <w:sz w:val="24"/>
                <w:szCs w:val="24"/>
                <w:color w:val="auto"/>
              </w:rPr>
              <w:t>l</w:t>
            </w:r>
          </w:p>
        </w:tc>
        <w:tc>
          <w:tcPr>
            <w:tcW w:w="1980" w:type="dxa"/>
            <w:vAlign w:val="bottom"/>
            <w:tcBorders>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提醒客户</w:t>
            </w:r>
          </w:p>
        </w:tc>
        <w:tc>
          <w:tcPr>
            <w:tcW w:w="1360" w:type="dxa"/>
            <w:vAlign w:val="bottom"/>
            <w:tcBorders>
              <w:right w:val="single" w:sz="8" w:color="auto"/>
            </w:tcBorders>
          </w:tcPr>
          <w:p>
            <w:pPr>
              <w:jc w:val="center"/>
              <w:spacing w:after="0" w:line="267" w:lineRule="exact"/>
              <w:rPr>
                <w:sz w:val="20"/>
                <w:szCs w:val="20"/>
                <w:color w:val="auto"/>
              </w:rPr>
            </w:pPr>
            <w:r>
              <w:rPr>
                <w:rFonts w:ascii="新宋体" w:cs="新宋体" w:eastAsia="新宋体" w:hAnsi="新宋体"/>
                <w:sz w:val="24"/>
                <w:szCs w:val="24"/>
                <w:color w:val="auto"/>
                <w:w w:val="99"/>
              </w:rPr>
              <w:t>逾期第一</w:t>
            </w:r>
          </w:p>
        </w:tc>
        <w:tc>
          <w:tcPr>
            <w:tcW w:w="1780" w:type="dxa"/>
            <w:vAlign w:val="bottom"/>
            <w:tcBorders>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传真</w:t>
            </w:r>
          </w:p>
        </w:tc>
        <w:tc>
          <w:tcPr>
            <w:tcW w:w="3260" w:type="dxa"/>
            <w:vAlign w:val="bottom"/>
            <w:tcBorders>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礼貌提示</w:t>
            </w:r>
          </w:p>
        </w:tc>
        <w:tc>
          <w:tcPr>
            <w:tcW w:w="0" w:type="dxa"/>
            <w:vAlign w:val="bottom"/>
          </w:tcPr>
          <w:p>
            <w:pPr>
              <w:spacing w:after="0"/>
              <w:rPr>
                <w:sz w:val="1"/>
                <w:szCs w:val="1"/>
                <w:color w:val="auto"/>
              </w:rPr>
            </w:pPr>
          </w:p>
        </w:tc>
      </w:tr>
      <w:tr>
        <w:trPr>
          <w:trHeight w:val="156"/>
        </w:trPr>
        <w:tc>
          <w:tcPr>
            <w:tcW w:w="720" w:type="dxa"/>
            <w:vAlign w:val="bottom"/>
            <w:tcBorders>
              <w:left w:val="single" w:sz="8" w:color="auto"/>
              <w:right w:val="single" w:sz="8" w:color="auto"/>
            </w:tcBorders>
            <w:vMerge w:val="continue"/>
          </w:tcPr>
          <w:p>
            <w:pPr>
              <w:spacing w:after="0"/>
              <w:rPr>
                <w:sz w:val="13"/>
                <w:szCs w:val="13"/>
                <w:color w:val="auto"/>
              </w:rPr>
            </w:pPr>
          </w:p>
        </w:tc>
        <w:tc>
          <w:tcPr>
            <w:tcW w:w="1980" w:type="dxa"/>
            <w:vAlign w:val="bottom"/>
            <w:tcBorders>
              <w:right w:val="single" w:sz="8" w:color="auto"/>
            </w:tcBorders>
            <w:vMerge w:val="continue"/>
          </w:tcPr>
          <w:p>
            <w:pPr>
              <w:spacing w:after="0"/>
              <w:rPr>
                <w:sz w:val="13"/>
                <w:szCs w:val="13"/>
                <w:color w:val="auto"/>
              </w:rPr>
            </w:pPr>
          </w:p>
        </w:tc>
        <w:tc>
          <w:tcPr>
            <w:tcW w:w="1360" w:type="dxa"/>
            <w:vAlign w:val="bottom"/>
            <w:tcBorders>
              <w:right w:val="single" w:sz="8" w:color="auto"/>
            </w:tcBorders>
            <w:vMerge w:val="restart"/>
          </w:tcPr>
          <w:p>
            <w:pPr>
              <w:jc w:val="center"/>
              <w:spacing w:after="0" w:line="274" w:lineRule="exact"/>
              <w:rPr>
                <w:sz w:val="20"/>
                <w:szCs w:val="20"/>
                <w:color w:val="auto"/>
              </w:rPr>
            </w:pPr>
            <w:r>
              <w:rPr>
                <w:rFonts w:ascii="新宋体" w:cs="新宋体" w:eastAsia="新宋体" w:hAnsi="新宋体"/>
                <w:sz w:val="24"/>
                <w:szCs w:val="24"/>
                <w:color w:val="auto"/>
                <w:w w:val="99"/>
              </w:rPr>
              <w:t>天</w:t>
            </w:r>
          </w:p>
        </w:tc>
        <w:tc>
          <w:tcPr>
            <w:tcW w:w="1780" w:type="dxa"/>
            <w:vAlign w:val="bottom"/>
            <w:tcBorders>
              <w:right w:val="single" w:sz="8" w:color="auto"/>
            </w:tcBorders>
            <w:vMerge w:val="continue"/>
          </w:tcPr>
          <w:p>
            <w:pPr>
              <w:spacing w:after="0"/>
              <w:rPr>
                <w:sz w:val="13"/>
                <w:szCs w:val="13"/>
                <w:color w:val="auto"/>
              </w:rPr>
            </w:pPr>
          </w:p>
        </w:tc>
        <w:tc>
          <w:tcPr>
            <w:tcW w:w="32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720" w:type="dxa"/>
            <w:vAlign w:val="bottom"/>
            <w:tcBorders>
              <w:left w:val="single" w:sz="8" w:color="auto"/>
              <w:right w:val="single" w:sz="8" w:color="auto"/>
            </w:tcBorders>
          </w:tcPr>
          <w:p>
            <w:pPr>
              <w:spacing w:after="0"/>
              <w:rPr>
                <w:sz w:val="13"/>
                <w:szCs w:val="13"/>
                <w:color w:val="auto"/>
              </w:rPr>
            </w:pPr>
          </w:p>
        </w:tc>
        <w:tc>
          <w:tcPr>
            <w:tcW w:w="1980" w:type="dxa"/>
            <w:vAlign w:val="bottom"/>
            <w:tcBorders>
              <w:right w:val="single" w:sz="8" w:color="auto"/>
            </w:tcBorders>
          </w:tcPr>
          <w:p>
            <w:pPr>
              <w:spacing w:after="0"/>
              <w:rPr>
                <w:sz w:val="13"/>
                <w:szCs w:val="13"/>
                <w:color w:val="auto"/>
              </w:rPr>
            </w:pPr>
          </w:p>
        </w:tc>
        <w:tc>
          <w:tcPr>
            <w:tcW w:w="1360" w:type="dxa"/>
            <w:vAlign w:val="bottom"/>
            <w:tcBorders>
              <w:right w:val="single" w:sz="8" w:color="auto"/>
            </w:tcBorders>
            <w:vMerge w:val="continue"/>
          </w:tcPr>
          <w:p>
            <w:pPr>
              <w:spacing w:after="0"/>
              <w:rPr>
                <w:sz w:val="13"/>
                <w:szCs w:val="13"/>
                <w:color w:val="auto"/>
              </w:rPr>
            </w:pPr>
          </w:p>
        </w:tc>
        <w:tc>
          <w:tcPr>
            <w:tcW w:w="1780" w:type="dxa"/>
            <w:vAlign w:val="bottom"/>
            <w:tcBorders>
              <w:right w:val="single" w:sz="8" w:color="auto"/>
            </w:tcBorders>
          </w:tcPr>
          <w:p>
            <w:pPr>
              <w:spacing w:after="0"/>
              <w:rPr>
                <w:sz w:val="13"/>
                <w:szCs w:val="13"/>
                <w:color w:val="auto"/>
              </w:rPr>
            </w:pPr>
          </w:p>
        </w:tc>
        <w:tc>
          <w:tcPr>
            <w:tcW w:w="32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40"/>
        </w:trPr>
        <w:tc>
          <w:tcPr>
            <w:tcW w:w="720" w:type="dxa"/>
            <w:vAlign w:val="bottom"/>
            <w:tcBorders>
              <w:left w:val="single" w:sz="8" w:color="auto"/>
              <w:bottom w:val="single" w:sz="8" w:color="auto"/>
              <w:right w:val="single" w:sz="8" w:color="auto"/>
            </w:tcBorders>
          </w:tcPr>
          <w:p>
            <w:pPr>
              <w:spacing w:after="0"/>
              <w:rPr>
                <w:sz w:val="3"/>
                <w:szCs w:val="3"/>
                <w:color w:val="auto"/>
              </w:rPr>
            </w:pPr>
          </w:p>
        </w:tc>
        <w:tc>
          <w:tcPr>
            <w:tcW w:w="1980" w:type="dxa"/>
            <w:vAlign w:val="bottom"/>
            <w:tcBorders>
              <w:bottom w:val="single" w:sz="8" w:color="auto"/>
              <w:right w:val="single" w:sz="8" w:color="auto"/>
            </w:tcBorders>
          </w:tcPr>
          <w:p>
            <w:pPr>
              <w:spacing w:after="0"/>
              <w:rPr>
                <w:sz w:val="3"/>
                <w:szCs w:val="3"/>
                <w:color w:val="auto"/>
              </w:rPr>
            </w:pPr>
          </w:p>
        </w:tc>
        <w:tc>
          <w:tcPr>
            <w:tcW w:w="1360" w:type="dxa"/>
            <w:vAlign w:val="bottom"/>
            <w:tcBorders>
              <w:bottom w:val="single" w:sz="8" w:color="auto"/>
              <w:right w:val="single" w:sz="8" w:color="auto"/>
            </w:tcBorders>
          </w:tcPr>
          <w:p>
            <w:pPr>
              <w:spacing w:after="0"/>
              <w:rPr>
                <w:sz w:val="3"/>
                <w:szCs w:val="3"/>
                <w:color w:val="auto"/>
              </w:rPr>
            </w:pPr>
          </w:p>
        </w:tc>
        <w:tc>
          <w:tcPr>
            <w:tcW w:w="1780" w:type="dxa"/>
            <w:vAlign w:val="bottom"/>
            <w:tcBorders>
              <w:bottom w:val="single" w:sz="8" w:color="auto"/>
              <w:right w:val="single" w:sz="8" w:color="auto"/>
            </w:tcBorders>
          </w:tcPr>
          <w:p>
            <w:pPr>
              <w:spacing w:after="0"/>
              <w:rPr>
                <w:sz w:val="3"/>
                <w:szCs w:val="3"/>
                <w:color w:val="auto"/>
              </w:rPr>
            </w:pPr>
          </w:p>
        </w:tc>
        <w:tc>
          <w:tcPr>
            <w:tcW w:w="3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05"/>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2</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提醒客户</w:t>
            </w:r>
          </w:p>
        </w:tc>
        <w:tc>
          <w:tcPr>
            <w:tcW w:w="1360" w:type="dxa"/>
            <w:vAlign w:val="bottom"/>
            <w:tcBorders>
              <w:right w:val="single" w:sz="8" w:color="auto"/>
            </w:tcBorders>
          </w:tcPr>
          <w:p>
            <w:pPr>
              <w:jc w:val="center"/>
              <w:spacing w:after="0" w:line="305"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4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传真</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再度提示</w:t>
            </w:r>
          </w:p>
        </w:tc>
        <w:tc>
          <w:tcPr>
            <w:tcW w:w="0" w:type="dxa"/>
            <w:vAlign w:val="bottom"/>
          </w:tcPr>
          <w:p>
            <w:pPr>
              <w:spacing w:after="0"/>
              <w:rPr>
                <w:sz w:val="1"/>
                <w:szCs w:val="1"/>
                <w:color w:val="auto"/>
              </w:rPr>
            </w:pPr>
          </w:p>
        </w:tc>
      </w:tr>
      <w:tr>
        <w:trPr>
          <w:trHeight w:val="81"/>
        </w:trPr>
        <w:tc>
          <w:tcPr>
            <w:tcW w:w="720" w:type="dxa"/>
            <w:vAlign w:val="bottom"/>
            <w:tcBorders>
              <w:left w:val="single" w:sz="8" w:color="auto"/>
              <w:bottom w:val="single" w:sz="8" w:color="auto"/>
              <w:right w:val="single" w:sz="8" w:color="auto"/>
            </w:tcBorders>
          </w:tcPr>
          <w:p>
            <w:pPr>
              <w:spacing w:after="0"/>
              <w:rPr>
                <w:sz w:val="7"/>
                <w:szCs w:val="7"/>
                <w:color w:val="auto"/>
              </w:rPr>
            </w:pPr>
          </w:p>
        </w:tc>
        <w:tc>
          <w:tcPr>
            <w:tcW w:w="1980" w:type="dxa"/>
            <w:vAlign w:val="bottom"/>
            <w:tcBorders>
              <w:bottom w:val="single" w:sz="8" w:color="auto"/>
              <w:right w:val="single" w:sz="8" w:color="auto"/>
            </w:tcBorders>
          </w:tcPr>
          <w:p>
            <w:pPr>
              <w:spacing w:after="0"/>
              <w:rPr>
                <w:sz w:val="7"/>
                <w:szCs w:val="7"/>
                <w:color w:val="auto"/>
              </w:rPr>
            </w:pPr>
          </w:p>
        </w:tc>
        <w:tc>
          <w:tcPr>
            <w:tcW w:w="1360" w:type="dxa"/>
            <w:vAlign w:val="bottom"/>
            <w:tcBorders>
              <w:bottom w:val="single" w:sz="8" w:color="auto"/>
              <w:right w:val="single" w:sz="8" w:color="auto"/>
            </w:tcBorders>
          </w:tcPr>
          <w:p>
            <w:pPr>
              <w:spacing w:after="0"/>
              <w:rPr>
                <w:sz w:val="7"/>
                <w:szCs w:val="7"/>
                <w:color w:val="auto"/>
              </w:rPr>
            </w:pPr>
          </w:p>
        </w:tc>
        <w:tc>
          <w:tcPr>
            <w:tcW w:w="1780" w:type="dxa"/>
            <w:vAlign w:val="bottom"/>
            <w:tcBorders>
              <w:bottom w:val="single" w:sz="8" w:color="auto"/>
              <w:right w:val="single" w:sz="8" w:color="auto"/>
            </w:tcBorders>
          </w:tcPr>
          <w:p>
            <w:pPr>
              <w:spacing w:after="0"/>
              <w:rPr>
                <w:sz w:val="7"/>
                <w:szCs w:val="7"/>
                <w:color w:val="auto"/>
              </w:rPr>
            </w:pPr>
          </w:p>
        </w:tc>
        <w:tc>
          <w:tcPr>
            <w:tcW w:w="326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07"/>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3</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了解问题</w:t>
            </w:r>
          </w:p>
        </w:tc>
        <w:tc>
          <w:tcPr>
            <w:tcW w:w="1360" w:type="dxa"/>
            <w:vAlign w:val="bottom"/>
            <w:tcBorders>
              <w:right w:val="single" w:sz="8" w:color="auto"/>
            </w:tcBorders>
          </w:tcPr>
          <w:p>
            <w:pPr>
              <w:jc w:val="center"/>
              <w:spacing w:after="0" w:line="307"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4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电话</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了解客户发生了什么问题</w:t>
            </w:r>
          </w:p>
        </w:tc>
        <w:tc>
          <w:tcPr>
            <w:tcW w:w="0" w:type="dxa"/>
            <w:vAlign w:val="bottom"/>
          </w:tcPr>
          <w:p>
            <w:pPr>
              <w:spacing w:after="0"/>
              <w:rPr>
                <w:sz w:val="1"/>
                <w:szCs w:val="1"/>
                <w:color w:val="auto"/>
              </w:rPr>
            </w:pPr>
          </w:p>
        </w:tc>
      </w:tr>
      <w:tr>
        <w:trPr>
          <w:trHeight w:val="81"/>
        </w:trPr>
        <w:tc>
          <w:tcPr>
            <w:tcW w:w="720" w:type="dxa"/>
            <w:vAlign w:val="bottom"/>
            <w:tcBorders>
              <w:left w:val="single" w:sz="8" w:color="auto"/>
              <w:bottom w:val="single" w:sz="8" w:color="auto"/>
              <w:right w:val="single" w:sz="8" w:color="auto"/>
            </w:tcBorders>
          </w:tcPr>
          <w:p>
            <w:pPr>
              <w:spacing w:after="0"/>
              <w:rPr>
                <w:sz w:val="7"/>
                <w:szCs w:val="7"/>
                <w:color w:val="auto"/>
              </w:rPr>
            </w:pPr>
          </w:p>
        </w:tc>
        <w:tc>
          <w:tcPr>
            <w:tcW w:w="1980" w:type="dxa"/>
            <w:vAlign w:val="bottom"/>
            <w:tcBorders>
              <w:bottom w:val="single" w:sz="8" w:color="auto"/>
              <w:right w:val="single" w:sz="8" w:color="auto"/>
            </w:tcBorders>
          </w:tcPr>
          <w:p>
            <w:pPr>
              <w:spacing w:after="0"/>
              <w:rPr>
                <w:sz w:val="7"/>
                <w:szCs w:val="7"/>
                <w:color w:val="auto"/>
              </w:rPr>
            </w:pPr>
          </w:p>
        </w:tc>
        <w:tc>
          <w:tcPr>
            <w:tcW w:w="1360" w:type="dxa"/>
            <w:vAlign w:val="bottom"/>
            <w:tcBorders>
              <w:bottom w:val="single" w:sz="8" w:color="auto"/>
              <w:right w:val="single" w:sz="8" w:color="auto"/>
            </w:tcBorders>
          </w:tcPr>
          <w:p>
            <w:pPr>
              <w:spacing w:after="0"/>
              <w:rPr>
                <w:sz w:val="7"/>
                <w:szCs w:val="7"/>
                <w:color w:val="auto"/>
              </w:rPr>
            </w:pPr>
          </w:p>
        </w:tc>
        <w:tc>
          <w:tcPr>
            <w:tcW w:w="1780" w:type="dxa"/>
            <w:vAlign w:val="bottom"/>
            <w:tcBorders>
              <w:bottom w:val="single" w:sz="8" w:color="auto"/>
              <w:right w:val="single" w:sz="8" w:color="auto"/>
            </w:tcBorders>
          </w:tcPr>
          <w:p>
            <w:pPr>
              <w:spacing w:after="0"/>
              <w:rPr>
                <w:sz w:val="7"/>
                <w:szCs w:val="7"/>
                <w:color w:val="auto"/>
              </w:rPr>
            </w:pPr>
          </w:p>
        </w:tc>
        <w:tc>
          <w:tcPr>
            <w:tcW w:w="326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05"/>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4</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第一次正式催账</w:t>
            </w:r>
          </w:p>
        </w:tc>
        <w:tc>
          <w:tcPr>
            <w:tcW w:w="1360" w:type="dxa"/>
            <w:vAlign w:val="bottom"/>
            <w:tcBorders>
              <w:right w:val="single" w:sz="8" w:color="auto"/>
            </w:tcBorders>
          </w:tcPr>
          <w:p>
            <w:pPr>
              <w:jc w:val="center"/>
              <w:spacing w:after="0" w:line="305"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4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传真</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显示证据</w:t>
            </w:r>
          </w:p>
        </w:tc>
        <w:tc>
          <w:tcPr>
            <w:tcW w:w="0" w:type="dxa"/>
            <w:vAlign w:val="bottom"/>
          </w:tcPr>
          <w:p>
            <w:pPr>
              <w:spacing w:after="0"/>
              <w:rPr>
                <w:sz w:val="1"/>
                <w:szCs w:val="1"/>
                <w:color w:val="auto"/>
              </w:rPr>
            </w:pPr>
          </w:p>
        </w:tc>
      </w:tr>
      <w:tr>
        <w:trPr>
          <w:trHeight w:val="78"/>
        </w:trPr>
        <w:tc>
          <w:tcPr>
            <w:tcW w:w="720" w:type="dxa"/>
            <w:vAlign w:val="bottom"/>
            <w:tcBorders>
              <w:left w:val="single" w:sz="8" w:color="auto"/>
              <w:bottom w:val="single" w:sz="8" w:color="auto"/>
              <w:right w:val="single" w:sz="8" w:color="auto"/>
            </w:tcBorders>
          </w:tcPr>
          <w:p>
            <w:pPr>
              <w:spacing w:after="0"/>
              <w:rPr>
                <w:sz w:val="6"/>
                <w:szCs w:val="6"/>
                <w:color w:val="auto"/>
              </w:rPr>
            </w:pPr>
          </w:p>
        </w:tc>
        <w:tc>
          <w:tcPr>
            <w:tcW w:w="198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780" w:type="dxa"/>
            <w:vAlign w:val="bottom"/>
            <w:tcBorders>
              <w:bottom w:val="single" w:sz="8" w:color="auto"/>
              <w:right w:val="single" w:sz="8" w:color="auto"/>
            </w:tcBorders>
          </w:tcPr>
          <w:p>
            <w:pPr>
              <w:spacing w:after="0"/>
              <w:rPr>
                <w:sz w:val="6"/>
                <w:szCs w:val="6"/>
                <w:color w:val="auto"/>
              </w:rPr>
            </w:pPr>
          </w:p>
        </w:tc>
        <w:tc>
          <w:tcPr>
            <w:tcW w:w="32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05"/>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5</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严肃通知</w:t>
            </w:r>
          </w:p>
        </w:tc>
        <w:tc>
          <w:tcPr>
            <w:tcW w:w="1360" w:type="dxa"/>
            <w:vAlign w:val="bottom"/>
            <w:tcBorders>
              <w:right w:val="single" w:sz="8" w:color="auto"/>
            </w:tcBorders>
          </w:tcPr>
          <w:p>
            <w:pPr>
              <w:jc w:val="center"/>
              <w:spacing w:after="0" w:line="305"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4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传真</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严肃通知</w:t>
            </w:r>
          </w:p>
        </w:tc>
        <w:tc>
          <w:tcPr>
            <w:tcW w:w="0" w:type="dxa"/>
            <w:vAlign w:val="bottom"/>
          </w:tcPr>
          <w:p>
            <w:pPr>
              <w:spacing w:after="0"/>
              <w:rPr>
                <w:sz w:val="1"/>
                <w:szCs w:val="1"/>
                <w:color w:val="auto"/>
              </w:rPr>
            </w:pPr>
          </w:p>
        </w:tc>
      </w:tr>
      <w:tr>
        <w:trPr>
          <w:trHeight w:val="78"/>
        </w:trPr>
        <w:tc>
          <w:tcPr>
            <w:tcW w:w="720" w:type="dxa"/>
            <w:vAlign w:val="bottom"/>
            <w:tcBorders>
              <w:left w:val="single" w:sz="8" w:color="auto"/>
              <w:bottom w:val="single" w:sz="8" w:color="auto"/>
              <w:right w:val="single" w:sz="8" w:color="auto"/>
            </w:tcBorders>
          </w:tcPr>
          <w:p>
            <w:pPr>
              <w:spacing w:after="0"/>
              <w:rPr>
                <w:sz w:val="6"/>
                <w:szCs w:val="6"/>
                <w:color w:val="auto"/>
              </w:rPr>
            </w:pPr>
          </w:p>
        </w:tc>
        <w:tc>
          <w:tcPr>
            <w:tcW w:w="198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780" w:type="dxa"/>
            <w:vAlign w:val="bottom"/>
            <w:tcBorders>
              <w:bottom w:val="single" w:sz="8" w:color="auto"/>
              <w:right w:val="single" w:sz="8" w:color="auto"/>
            </w:tcBorders>
          </w:tcPr>
          <w:p>
            <w:pPr>
              <w:spacing w:after="0"/>
              <w:rPr>
                <w:sz w:val="6"/>
                <w:szCs w:val="6"/>
                <w:color w:val="auto"/>
              </w:rPr>
            </w:pPr>
          </w:p>
        </w:tc>
        <w:tc>
          <w:tcPr>
            <w:tcW w:w="32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05"/>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6</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第二次正式催账</w:t>
            </w:r>
          </w:p>
        </w:tc>
        <w:tc>
          <w:tcPr>
            <w:tcW w:w="1360" w:type="dxa"/>
            <w:vAlign w:val="bottom"/>
            <w:tcBorders>
              <w:right w:val="single" w:sz="8" w:color="auto"/>
            </w:tcBorders>
          </w:tcPr>
          <w:p>
            <w:pPr>
              <w:jc w:val="center"/>
              <w:spacing w:after="0" w:line="305"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4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传真</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显示证据</w:t>
            </w:r>
          </w:p>
        </w:tc>
        <w:tc>
          <w:tcPr>
            <w:tcW w:w="0" w:type="dxa"/>
            <w:vAlign w:val="bottom"/>
          </w:tcPr>
          <w:p>
            <w:pPr>
              <w:spacing w:after="0"/>
              <w:rPr>
                <w:sz w:val="1"/>
                <w:szCs w:val="1"/>
                <w:color w:val="auto"/>
              </w:rPr>
            </w:pPr>
          </w:p>
        </w:tc>
      </w:tr>
      <w:tr>
        <w:trPr>
          <w:trHeight w:val="81"/>
        </w:trPr>
        <w:tc>
          <w:tcPr>
            <w:tcW w:w="720" w:type="dxa"/>
            <w:vAlign w:val="bottom"/>
            <w:tcBorders>
              <w:left w:val="single" w:sz="8" w:color="auto"/>
              <w:bottom w:val="single" w:sz="8" w:color="auto"/>
              <w:right w:val="single" w:sz="8" w:color="auto"/>
            </w:tcBorders>
          </w:tcPr>
          <w:p>
            <w:pPr>
              <w:spacing w:after="0"/>
              <w:rPr>
                <w:sz w:val="7"/>
                <w:szCs w:val="7"/>
                <w:color w:val="auto"/>
              </w:rPr>
            </w:pPr>
          </w:p>
        </w:tc>
        <w:tc>
          <w:tcPr>
            <w:tcW w:w="1980" w:type="dxa"/>
            <w:vAlign w:val="bottom"/>
            <w:tcBorders>
              <w:bottom w:val="single" w:sz="8" w:color="auto"/>
              <w:right w:val="single" w:sz="8" w:color="auto"/>
            </w:tcBorders>
          </w:tcPr>
          <w:p>
            <w:pPr>
              <w:spacing w:after="0"/>
              <w:rPr>
                <w:sz w:val="7"/>
                <w:szCs w:val="7"/>
                <w:color w:val="auto"/>
              </w:rPr>
            </w:pPr>
          </w:p>
        </w:tc>
        <w:tc>
          <w:tcPr>
            <w:tcW w:w="1360" w:type="dxa"/>
            <w:vAlign w:val="bottom"/>
            <w:tcBorders>
              <w:bottom w:val="single" w:sz="8" w:color="auto"/>
              <w:right w:val="single" w:sz="8" w:color="auto"/>
            </w:tcBorders>
          </w:tcPr>
          <w:p>
            <w:pPr>
              <w:spacing w:after="0"/>
              <w:rPr>
                <w:sz w:val="7"/>
                <w:szCs w:val="7"/>
                <w:color w:val="auto"/>
              </w:rPr>
            </w:pPr>
          </w:p>
        </w:tc>
        <w:tc>
          <w:tcPr>
            <w:tcW w:w="1780" w:type="dxa"/>
            <w:vAlign w:val="bottom"/>
            <w:tcBorders>
              <w:bottom w:val="single" w:sz="8" w:color="auto"/>
              <w:right w:val="single" w:sz="8" w:color="auto"/>
            </w:tcBorders>
          </w:tcPr>
          <w:p>
            <w:pPr>
              <w:spacing w:after="0"/>
              <w:rPr>
                <w:sz w:val="7"/>
                <w:szCs w:val="7"/>
                <w:color w:val="auto"/>
              </w:rPr>
            </w:pPr>
          </w:p>
        </w:tc>
        <w:tc>
          <w:tcPr>
            <w:tcW w:w="326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05"/>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7</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压迫客户式谈话</w:t>
            </w:r>
          </w:p>
        </w:tc>
        <w:tc>
          <w:tcPr>
            <w:tcW w:w="1360" w:type="dxa"/>
            <w:vAlign w:val="bottom"/>
            <w:tcBorders>
              <w:right w:val="single" w:sz="8" w:color="auto"/>
            </w:tcBorders>
          </w:tcPr>
          <w:p>
            <w:pPr>
              <w:jc w:val="center"/>
              <w:spacing w:after="0" w:line="305" w:lineRule="exact"/>
              <w:rPr>
                <w:sz w:val="20"/>
                <w:szCs w:val="20"/>
                <w:color w:val="auto"/>
              </w:rPr>
            </w:pPr>
            <w:r>
              <w:rPr>
                <w:rFonts w:ascii="新宋体" w:cs="新宋体" w:eastAsia="新宋体" w:hAnsi="新宋体"/>
                <w:sz w:val="24"/>
                <w:szCs w:val="24"/>
                <w:color w:val="auto"/>
                <w:w w:val="81"/>
              </w:rPr>
              <w:t>与</w:t>
            </w:r>
            <w:r>
              <w:rPr>
                <w:rFonts w:ascii="Courier New" w:cs="Courier New" w:eastAsia="Courier New" w:hAnsi="Courier New"/>
                <w:sz w:val="24"/>
                <w:szCs w:val="24"/>
                <w:color w:val="auto"/>
                <w:w w:val="81"/>
              </w:rPr>
              <w:t xml:space="preserve"> 6 </w:t>
            </w:r>
            <w:r>
              <w:rPr>
                <w:rFonts w:ascii="新宋体" w:cs="新宋体" w:eastAsia="新宋体" w:hAnsi="新宋体"/>
                <w:sz w:val="24"/>
                <w:szCs w:val="24"/>
                <w:color w:val="auto"/>
                <w:w w:val="81"/>
              </w:rPr>
              <w:t>同一天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通话／拜访</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表达不满</w:t>
            </w:r>
          </w:p>
        </w:tc>
        <w:tc>
          <w:tcPr>
            <w:tcW w:w="0" w:type="dxa"/>
            <w:vAlign w:val="bottom"/>
          </w:tcPr>
          <w:p>
            <w:pPr>
              <w:spacing w:after="0"/>
              <w:rPr>
                <w:sz w:val="1"/>
                <w:szCs w:val="1"/>
                <w:color w:val="auto"/>
              </w:rPr>
            </w:pPr>
          </w:p>
        </w:tc>
      </w:tr>
      <w:tr>
        <w:trPr>
          <w:trHeight w:val="82"/>
        </w:trPr>
        <w:tc>
          <w:tcPr>
            <w:tcW w:w="720" w:type="dxa"/>
            <w:vAlign w:val="bottom"/>
            <w:tcBorders>
              <w:left w:val="single" w:sz="8" w:color="auto"/>
              <w:bottom w:val="single" w:sz="8" w:color="auto"/>
              <w:right w:val="single" w:sz="8" w:color="auto"/>
            </w:tcBorders>
          </w:tcPr>
          <w:p>
            <w:pPr>
              <w:spacing w:after="0"/>
              <w:rPr>
                <w:sz w:val="7"/>
                <w:szCs w:val="7"/>
                <w:color w:val="auto"/>
              </w:rPr>
            </w:pPr>
          </w:p>
        </w:tc>
        <w:tc>
          <w:tcPr>
            <w:tcW w:w="1980" w:type="dxa"/>
            <w:vAlign w:val="bottom"/>
            <w:tcBorders>
              <w:bottom w:val="single" w:sz="8" w:color="auto"/>
              <w:right w:val="single" w:sz="8" w:color="auto"/>
            </w:tcBorders>
          </w:tcPr>
          <w:p>
            <w:pPr>
              <w:spacing w:after="0"/>
              <w:rPr>
                <w:sz w:val="7"/>
                <w:szCs w:val="7"/>
                <w:color w:val="auto"/>
              </w:rPr>
            </w:pPr>
          </w:p>
        </w:tc>
        <w:tc>
          <w:tcPr>
            <w:tcW w:w="1360" w:type="dxa"/>
            <w:vAlign w:val="bottom"/>
            <w:tcBorders>
              <w:bottom w:val="single" w:sz="8" w:color="auto"/>
              <w:right w:val="single" w:sz="8" w:color="auto"/>
            </w:tcBorders>
          </w:tcPr>
          <w:p>
            <w:pPr>
              <w:spacing w:after="0"/>
              <w:rPr>
                <w:sz w:val="7"/>
                <w:szCs w:val="7"/>
                <w:color w:val="auto"/>
              </w:rPr>
            </w:pPr>
          </w:p>
        </w:tc>
        <w:tc>
          <w:tcPr>
            <w:tcW w:w="1780" w:type="dxa"/>
            <w:vAlign w:val="bottom"/>
            <w:tcBorders>
              <w:bottom w:val="single" w:sz="8" w:color="auto"/>
              <w:right w:val="single" w:sz="8" w:color="auto"/>
            </w:tcBorders>
          </w:tcPr>
          <w:p>
            <w:pPr>
              <w:spacing w:after="0"/>
              <w:rPr>
                <w:sz w:val="7"/>
                <w:szCs w:val="7"/>
                <w:color w:val="auto"/>
              </w:rPr>
            </w:pPr>
          </w:p>
        </w:tc>
        <w:tc>
          <w:tcPr>
            <w:tcW w:w="326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06"/>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8</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第一次经理对话</w:t>
            </w:r>
          </w:p>
        </w:tc>
        <w:tc>
          <w:tcPr>
            <w:tcW w:w="1360" w:type="dxa"/>
            <w:vAlign w:val="bottom"/>
            <w:tcBorders>
              <w:right w:val="single" w:sz="8" w:color="auto"/>
            </w:tcBorders>
          </w:tcPr>
          <w:p>
            <w:pPr>
              <w:jc w:val="center"/>
              <w:spacing w:after="0" w:line="306"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3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电话</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催账级别升高</w:t>
            </w:r>
          </w:p>
        </w:tc>
        <w:tc>
          <w:tcPr>
            <w:tcW w:w="0" w:type="dxa"/>
            <w:vAlign w:val="bottom"/>
          </w:tcPr>
          <w:p>
            <w:pPr>
              <w:spacing w:after="0"/>
              <w:rPr>
                <w:sz w:val="1"/>
                <w:szCs w:val="1"/>
                <w:color w:val="auto"/>
              </w:rPr>
            </w:pPr>
          </w:p>
        </w:tc>
      </w:tr>
      <w:tr>
        <w:trPr>
          <w:trHeight w:val="77"/>
        </w:trPr>
        <w:tc>
          <w:tcPr>
            <w:tcW w:w="720" w:type="dxa"/>
            <w:vAlign w:val="bottom"/>
            <w:tcBorders>
              <w:left w:val="single" w:sz="8" w:color="auto"/>
              <w:bottom w:val="single" w:sz="8" w:color="auto"/>
              <w:right w:val="single" w:sz="8" w:color="auto"/>
            </w:tcBorders>
          </w:tcPr>
          <w:p>
            <w:pPr>
              <w:spacing w:after="0"/>
              <w:rPr>
                <w:sz w:val="6"/>
                <w:szCs w:val="6"/>
                <w:color w:val="auto"/>
              </w:rPr>
            </w:pPr>
          </w:p>
        </w:tc>
        <w:tc>
          <w:tcPr>
            <w:tcW w:w="198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780" w:type="dxa"/>
            <w:vAlign w:val="bottom"/>
            <w:tcBorders>
              <w:bottom w:val="single" w:sz="8" w:color="auto"/>
              <w:right w:val="single" w:sz="8" w:color="auto"/>
            </w:tcBorders>
          </w:tcPr>
          <w:p>
            <w:pPr>
              <w:spacing w:after="0"/>
              <w:rPr>
                <w:sz w:val="6"/>
                <w:szCs w:val="6"/>
                <w:color w:val="auto"/>
              </w:rPr>
            </w:pPr>
          </w:p>
        </w:tc>
        <w:tc>
          <w:tcPr>
            <w:tcW w:w="32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08"/>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2"/>
              </w:rPr>
              <w:t>9</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第二次经理对话</w:t>
            </w:r>
          </w:p>
        </w:tc>
        <w:tc>
          <w:tcPr>
            <w:tcW w:w="1360" w:type="dxa"/>
            <w:vAlign w:val="bottom"/>
            <w:tcBorders>
              <w:right w:val="single" w:sz="8" w:color="auto"/>
            </w:tcBorders>
          </w:tcPr>
          <w:p>
            <w:pPr>
              <w:jc w:val="center"/>
              <w:spacing w:after="0" w:line="309"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3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电话</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最后一次谈话</w:t>
            </w:r>
          </w:p>
        </w:tc>
        <w:tc>
          <w:tcPr>
            <w:tcW w:w="0" w:type="dxa"/>
            <w:vAlign w:val="bottom"/>
          </w:tcPr>
          <w:p>
            <w:pPr>
              <w:spacing w:after="0"/>
              <w:rPr>
                <w:sz w:val="1"/>
                <w:szCs w:val="1"/>
                <w:color w:val="auto"/>
              </w:rPr>
            </w:pPr>
          </w:p>
        </w:tc>
      </w:tr>
      <w:tr>
        <w:trPr>
          <w:trHeight w:val="81"/>
        </w:trPr>
        <w:tc>
          <w:tcPr>
            <w:tcW w:w="720" w:type="dxa"/>
            <w:vAlign w:val="bottom"/>
            <w:tcBorders>
              <w:left w:val="single" w:sz="8" w:color="auto"/>
              <w:bottom w:val="single" w:sz="8" w:color="auto"/>
              <w:right w:val="single" w:sz="8" w:color="auto"/>
            </w:tcBorders>
          </w:tcPr>
          <w:p>
            <w:pPr>
              <w:spacing w:after="0"/>
              <w:rPr>
                <w:sz w:val="7"/>
                <w:szCs w:val="7"/>
                <w:color w:val="auto"/>
              </w:rPr>
            </w:pPr>
          </w:p>
        </w:tc>
        <w:tc>
          <w:tcPr>
            <w:tcW w:w="1980" w:type="dxa"/>
            <w:vAlign w:val="bottom"/>
            <w:tcBorders>
              <w:bottom w:val="single" w:sz="8" w:color="auto"/>
              <w:right w:val="single" w:sz="8" w:color="auto"/>
            </w:tcBorders>
          </w:tcPr>
          <w:p>
            <w:pPr>
              <w:spacing w:after="0"/>
              <w:rPr>
                <w:sz w:val="7"/>
                <w:szCs w:val="7"/>
                <w:color w:val="auto"/>
              </w:rPr>
            </w:pPr>
          </w:p>
        </w:tc>
        <w:tc>
          <w:tcPr>
            <w:tcW w:w="1360" w:type="dxa"/>
            <w:vAlign w:val="bottom"/>
            <w:tcBorders>
              <w:bottom w:val="single" w:sz="8" w:color="auto"/>
              <w:right w:val="single" w:sz="8" w:color="auto"/>
            </w:tcBorders>
          </w:tcPr>
          <w:p>
            <w:pPr>
              <w:spacing w:after="0"/>
              <w:rPr>
                <w:sz w:val="7"/>
                <w:szCs w:val="7"/>
                <w:color w:val="auto"/>
              </w:rPr>
            </w:pPr>
          </w:p>
        </w:tc>
        <w:tc>
          <w:tcPr>
            <w:tcW w:w="1780" w:type="dxa"/>
            <w:vAlign w:val="bottom"/>
            <w:tcBorders>
              <w:bottom w:val="single" w:sz="8" w:color="auto"/>
              <w:right w:val="single" w:sz="8" w:color="auto"/>
            </w:tcBorders>
          </w:tcPr>
          <w:p>
            <w:pPr>
              <w:spacing w:after="0"/>
              <w:rPr>
                <w:sz w:val="7"/>
                <w:szCs w:val="7"/>
                <w:color w:val="auto"/>
              </w:rPr>
            </w:pPr>
          </w:p>
        </w:tc>
        <w:tc>
          <w:tcPr>
            <w:tcW w:w="326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02"/>
        </w:trPr>
        <w:tc>
          <w:tcPr>
            <w:tcW w:w="720" w:type="dxa"/>
            <w:vAlign w:val="bottom"/>
            <w:tcBorders>
              <w:left w:val="single" w:sz="8" w:color="auto"/>
              <w:right w:val="single" w:sz="8" w:color="auto"/>
            </w:tcBorders>
          </w:tcPr>
          <w:p>
            <w:pPr>
              <w:jc w:val="center"/>
              <w:spacing w:after="0"/>
              <w:rPr>
                <w:sz w:val="20"/>
                <w:szCs w:val="20"/>
                <w:color w:val="auto"/>
              </w:rPr>
            </w:pPr>
            <w:r>
              <w:rPr>
                <w:rFonts w:ascii="Courier New" w:cs="Courier New" w:eastAsia="Courier New" w:hAnsi="Courier New"/>
                <w:sz w:val="24"/>
                <w:szCs w:val="24"/>
                <w:color w:val="auto"/>
                <w:w w:val="83"/>
              </w:rPr>
              <w:t>10</w:t>
            </w:r>
          </w:p>
        </w:tc>
        <w:tc>
          <w:tcPr>
            <w:tcW w:w="19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最后通知</w:t>
            </w:r>
          </w:p>
        </w:tc>
        <w:tc>
          <w:tcPr>
            <w:tcW w:w="1360" w:type="dxa"/>
            <w:vAlign w:val="bottom"/>
            <w:tcBorders>
              <w:right w:val="single" w:sz="8" w:color="auto"/>
            </w:tcBorders>
          </w:tcPr>
          <w:p>
            <w:pPr>
              <w:jc w:val="center"/>
              <w:spacing w:after="0" w:line="302" w:lineRule="exact"/>
              <w:rPr>
                <w:sz w:val="20"/>
                <w:szCs w:val="20"/>
                <w:color w:val="auto"/>
              </w:rPr>
            </w:pPr>
            <w:r>
              <w:rPr>
                <w:rFonts w:ascii="新宋体" w:cs="新宋体" w:eastAsia="新宋体" w:hAnsi="新宋体"/>
                <w:sz w:val="24"/>
                <w:szCs w:val="24"/>
                <w:color w:val="auto"/>
                <w:w w:val="81"/>
              </w:rPr>
              <w:t>以后第</w:t>
            </w:r>
            <w:r>
              <w:rPr>
                <w:rFonts w:ascii="Courier New" w:cs="Courier New" w:eastAsia="Courier New" w:hAnsi="Courier New"/>
                <w:sz w:val="24"/>
                <w:szCs w:val="24"/>
                <w:color w:val="auto"/>
                <w:w w:val="81"/>
              </w:rPr>
              <w:t xml:space="preserve"> 3 </w:t>
            </w:r>
            <w:r>
              <w:rPr>
                <w:rFonts w:ascii="新宋体" w:cs="新宋体" w:eastAsia="新宋体" w:hAnsi="新宋体"/>
                <w:sz w:val="24"/>
                <w:szCs w:val="24"/>
                <w:color w:val="auto"/>
                <w:w w:val="81"/>
              </w:rPr>
              <w:t>天</w:t>
            </w:r>
          </w:p>
        </w:tc>
        <w:tc>
          <w:tcPr>
            <w:tcW w:w="178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挂号信</w:t>
            </w:r>
          </w:p>
        </w:tc>
        <w:tc>
          <w:tcPr>
            <w:tcW w:w="3260" w:type="dxa"/>
            <w:vAlign w:val="bottom"/>
            <w:tcBorders>
              <w:right w:val="single" w:sz="8" w:color="auto"/>
            </w:tcBorders>
          </w:tcPr>
          <w:p>
            <w:pPr>
              <w:jc w:val="center"/>
              <w:spacing w:after="0" w:line="274" w:lineRule="exact"/>
              <w:rPr>
                <w:sz w:val="20"/>
                <w:szCs w:val="20"/>
                <w:color w:val="auto"/>
              </w:rPr>
            </w:pPr>
            <w:r>
              <w:rPr>
                <w:rFonts w:ascii="新宋体" w:cs="新宋体" w:eastAsia="新宋体" w:hAnsi="新宋体"/>
                <w:sz w:val="24"/>
                <w:szCs w:val="24"/>
                <w:color w:val="auto"/>
                <w:w w:val="99"/>
              </w:rPr>
              <w:t>最后通牒</w:t>
            </w:r>
          </w:p>
        </w:tc>
        <w:tc>
          <w:tcPr>
            <w:tcW w:w="0" w:type="dxa"/>
            <w:vAlign w:val="bottom"/>
          </w:tcPr>
          <w:p>
            <w:pPr>
              <w:spacing w:after="0"/>
              <w:rPr>
                <w:sz w:val="1"/>
                <w:szCs w:val="1"/>
                <w:color w:val="auto"/>
              </w:rPr>
            </w:pPr>
          </w:p>
        </w:tc>
      </w:tr>
      <w:tr>
        <w:trPr>
          <w:trHeight w:val="76"/>
        </w:trPr>
        <w:tc>
          <w:tcPr>
            <w:tcW w:w="720" w:type="dxa"/>
            <w:vAlign w:val="bottom"/>
            <w:tcBorders>
              <w:left w:val="single" w:sz="8" w:color="auto"/>
              <w:bottom w:val="single" w:sz="8" w:color="auto"/>
              <w:right w:val="single" w:sz="8" w:color="auto"/>
            </w:tcBorders>
          </w:tcPr>
          <w:p>
            <w:pPr>
              <w:spacing w:after="0"/>
              <w:rPr>
                <w:sz w:val="6"/>
                <w:szCs w:val="6"/>
                <w:color w:val="auto"/>
              </w:rPr>
            </w:pPr>
          </w:p>
        </w:tc>
        <w:tc>
          <w:tcPr>
            <w:tcW w:w="198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780" w:type="dxa"/>
            <w:vAlign w:val="bottom"/>
            <w:tcBorders>
              <w:bottom w:val="single" w:sz="8" w:color="auto"/>
              <w:right w:val="single" w:sz="8" w:color="auto"/>
            </w:tcBorders>
          </w:tcPr>
          <w:p>
            <w:pPr>
              <w:spacing w:after="0"/>
              <w:rPr>
                <w:sz w:val="6"/>
                <w:szCs w:val="6"/>
                <w:color w:val="auto"/>
              </w:rPr>
            </w:pPr>
          </w:p>
        </w:tc>
        <w:tc>
          <w:tcPr>
            <w:tcW w:w="32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bl>
    <w:p>
      <w:pPr>
        <w:sectPr>
          <w:pgSz w:w="11900" w:h="16840" w:orient="portrait"/>
          <w:cols w:equalWidth="0" w:num="1">
            <w:col w:w="9144"/>
          </w:cols>
          <w:pgMar w:left="1320" w:top="1440" w:right="1440" w:bottom="1103" w:gutter="0" w:footer="0" w:header="0"/>
        </w:sectPr>
      </w:pPr>
    </w:p>
    <w:bookmarkStart w:id="22" w:name="page23"/>
    <w:bookmarkEnd w:id="22"/>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拖欠货款；</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其他。</w:t>
      </w:r>
    </w:p>
    <w:p>
      <w:pPr>
        <w:spacing w:after="0" w:line="305" w:lineRule="exact"/>
        <w:rPr>
          <w:sz w:val="20"/>
          <w:szCs w:val="20"/>
          <w:color w:val="auto"/>
        </w:rPr>
      </w:pPr>
    </w:p>
    <w:p>
      <w:pPr>
        <w:ind w:left="560"/>
        <w:spacing w:after="0" w:line="320" w:lineRule="exact"/>
        <w:rPr>
          <w:sz w:val="20"/>
          <w:szCs w:val="20"/>
          <w:color w:val="auto"/>
        </w:rPr>
      </w:pPr>
      <w:r>
        <w:rPr>
          <w:rFonts w:ascii="新宋体" w:cs="新宋体" w:eastAsia="新宋体" w:hAnsi="新宋体"/>
          <w:sz w:val="28"/>
          <w:szCs w:val="28"/>
          <w:color w:val="auto"/>
        </w:rPr>
        <w:t>纠正措施：及时书面告知对方，说明原由；依法赔偿对方损失；撤消</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过错当事人的职务、开除直至依法追究其法律责任。</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3</w:t>
      </w:r>
      <w:r>
        <w:rPr>
          <w:rFonts w:ascii="新宋体" w:cs="新宋体" w:eastAsia="新宋体" w:hAnsi="新宋体"/>
          <w:sz w:val="28"/>
          <w:szCs w:val="28"/>
          <w:color w:val="auto"/>
        </w:rPr>
        <w:t>．合同纠纷处理</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发生合同纠纷，合同承办部门、人员应立即报告分管领导或法定代</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表人，并通报信用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管理机构，提供材料。</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为解决合同纠纷所采取的各项措施，必须在法定的诉讼时效和期间</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内进行。</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合同纠纷发生后，可以通过协商、调解、仲裁、诉讼等方式解决。</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合同承办部门、人员应配合好厂信用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管理机构参加仲裁或诉讼。</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发现对方当事人利用合同进行诈骗等犯罪活动时，应当立即向单位</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负责人报告并向公安机关报案。</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合同发生纠纷后，需要委托代理人参加仲裁或诉讼活动的，应当及</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时委托有资质的代理人参与处理纠纷。</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解决合同纠纷的申请书、起诉书、答辩书、协议书、调解书、仲裁</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书、裁定书、判决书的副本或正本复印件，自发出或收到之日起十日内，</w:t>
      </w:r>
    </w:p>
    <w:p>
      <w:pPr>
        <w:spacing w:after="0" w:line="260" w:lineRule="exact"/>
        <w:rPr>
          <w:sz w:val="20"/>
          <w:szCs w:val="20"/>
          <w:color w:val="auto"/>
        </w:rPr>
      </w:pPr>
    </w:p>
    <w:p>
      <w:pPr>
        <w:spacing w:after="0" w:line="365" w:lineRule="exact"/>
        <w:rPr>
          <w:sz w:val="20"/>
          <w:szCs w:val="20"/>
          <w:color w:val="auto"/>
        </w:rPr>
      </w:pPr>
      <w:r>
        <w:rPr>
          <w:rFonts w:ascii="新宋体" w:cs="新宋体" w:eastAsia="新宋体" w:hAnsi="新宋体"/>
          <w:sz w:val="28"/>
          <w:szCs w:val="28"/>
          <w:color w:val="auto"/>
        </w:rPr>
        <w:t>由承办人送交信用</w:t>
      </w:r>
      <w:r>
        <w:rPr>
          <w:rFonts w:ascii="Courier New" w:cs="Courier New" w:eastAsia="Courier New" w:hAnsi="Courier New"/>
          <w:sz w:val="28"/>
          <w:szCs w:val="28"/>
          <w:color w:val="auto"/>
        </w:rPr>
        <w:t>(</w:t>
      </w:r>
      <w:r>
        <w:rPr>
          <w:rFonts w:ascii="新宋体" w:cs="新宋体" w:eastAsia="新宋体" w:hAnsi="新宋体"/>
          <w:sz w:val="28"/>
          <w:szCs w:val="28"/>
          <w:color w:val="auto"/>
        </w:rPr>
        <w:t>合同</w:t>
      </w:r>
      <w:r>
        <w:rPr>
          <w:rFonts w:ascii="Courier New" w:cs="Courier New" w:eastAsia="Courier New" w:hAnsi="Courier New"/>
          <w:sz w:val="28"/>
          <w:szCs w:val="28"/>
          <w:color w:val="auto"/>
        </w:rPr>
        <w:t>)</w:t>
      </w:r>
      <w:r>
        <w:rPr>
          <w:rFonts w:ascii="新宋体" w:cs="新宋体" w:eastAsia="新宋体" w:hAnsi="新宋体"/>
          <w:sz w:val="28"/>
          <w:szCs w:val="28"/>
          <w:color w:val="auto"/>
        </w:rPr>
        <w:t>管理机构备案。</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在处理合同纠纷过程中，对于可能因对方当事人的行为或者其他原</w:t>
      </w:r>
    </w:p>
    <w:p>
      <w:pPr>
        <w:spacing w:after="0" w:line="316" w:lineRule="exact"/>
        <w:rPr>
          <w:sz w:val="20"/>
          <w:szCs w:val="20"/>
          <w:color w:val="auto"/>
        </w:rPr>
      </w:pPr>
    </w:p>
    <w:p>
      <w:pPr>
        <w:spacing w:after="0" w:line="308" w:lineRule="exact"/>
        <w:rPr>
          <w:sz w:val="20"/>
          <w:szCs w:val="20"/>
          <w:color w:val="auto"/>
        </w:rPr>
      </w:pPr>
      <w:r>
        <w:rPr>
          <w:rFonts w:ascii="新宋体" w:cs="新宋体" w:eastAsia="新宋体" w:hAnsi="新宋体"/>
          <w:sz w:val="27"/>
          <w:szCs w:val="27"/>
          <w:color w:val="auto"/>
        </w:rPr>
        <w:t>因，使判决不能执行或者难以执行的案件，应当及时向法院申请财产保全。</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合同纠纷发生后，应当依法采取一切措施，积极收集、整理有关证</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据。在证据可能灭失或者难以取得的情况下，应当向法院申请保全证据。</w:t>
      </w:r>
    </w:p>
    <w:p>
      <w:pPr>
        <w:sectPr>
          <w:pgSz w:w="11900" w:h="16840" w:orient="portrait"/>
          <w:cols w:equalWidth="0" w:num="1">
            <w:col w:w="9140"/>
          </w:cols>
          <w:pgMar w:left="1440" w:top="1440" w:right="1324" w:bottom="1440" w:gutter="0" w:footer="0" w:header="0"/>
        </w:sectPr>
      </w:pPr>
    </w:p>
    <w:bookmarkStart w:id="23" w:name="page24"/>
    <w:bookmarkEnd w:id="23"/>
    <w:p>
      <w:pPr>
        <w:spacing w:after="0" w:line="87"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895985</wp:posOffset>
                </wp:positionH>
                <wp:positionV relativeFrom="page">
                  <wp:posOffset>688340</wp:posOffset>
                </wp:positionV>
                <wp:extent cx="575119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11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54.2pt" to="523.4pt,54.2pt" o:allowincell="f" strokecolor="#000000" strokeweight="0.72pt">
                <w10:wrap anchorx="page" anchory="page"/>
              </v:line>
            </w:pict>
          </mc:Fallback>
        </mc:AlternateContent>
      </w: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向法院提供原始证据时，必须先行复制，并请求法院的承办人员出</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具证据收执。</w:t>
      </w:r>
    </w:p>
    <w:p>
      <w:pPr>
        <w:spacing w:after="0" w:line="260" w:lineRule="exact"/>
        <w:rPr>
          <w:sz w:val="20"/>
          <w:szCs w:val="20"/>
          <w:color w:val="auto"/>
        </w:rPr>
      </w:pPr>
    </w:p>
    <w:p>
      <w:pPr>
        <w:ind w:left="560"/>
        <w:spacing w:after="0" w:line="365" w:lineRule="exact"/>
        <w:rPr>
          <w:sz w:val="20"/>
          <w:szCs w:val="20"/>
          <w:color w:val="auto"/>
        </w:rPr>
      </w:pPr>
      <w:r>
        <w:rPr>
          <w:rFonts w:ascii="Courier New" w:cs="Courier New" w:eastAsia="Courier New" w:hAnsi="Courier New"/>
          <w:sz w:val="28"/>
          <w:szCs w:val="28"/>
          <w:color w:val="auto"/>
        </w:rPr>
        <w:t>●</w:t>
      </w:r>
      <w:r>
        <w:rPr>
          <w:rFonts w:ascii="新宋体" w:cs="新宋体" w:eastAsia="新宋体" w:hAnsi="新宋体"/>
          <w:sz w:val="28"/>
          <w:szCs w:val="28"/>
          <w:color w:val="auto"/>
        </w:rPr>
        <w:t>在涉及合同纠纷的诉讼或非诉讼活动中，行使可能引起国有资产流</w:t>
      </w:r>
    </w:p>
    <w:p>
      <w:pPr>
        <w:spacing w:after="0" w:line="305" w:lineRule="exact"/>
        <w:rPr>
          <w:sz w:val="20"/>
          <w:szCs w:val="20"/>
          <w:color w:val="auto"/>
        </w:rPr>
      </w:pPr>
    </w:p>
    <w:p>
      <w:pPr>
        <w:spacing w:after="0" w:line="320" w:lineRule="exact"/>
        <w:rPr>
          <w:sz w:val="20"/>
          <w:szCs w:val="20"/>
          <w:color w:val="auto"/>
        </w:rPr>
      </w:pPr>
      <w:r>
        <w:rPr>
          <w:rFonts w:ascii="新宋体" w:cs="新宋体" w:eastAsia="新宋体" w:hAnsi="新宋体"/>
          <w:sz w:val="28"/>
          <w:szCs w:val="28"/>
          <w:color w:val="auto"/>
        </w:rPr>
        <w:t>失的处分权时，应当报请有关部门或主管厂批准。</w:t>
      </w:r>
    </w:p>
    <w:p/>
    <w:p/>
    <w:p/>
    <w:p/>
    <w:p/>
    <w:p/>
    <w:p/>
    <w:p/>
    <w:p/>
    <w:p/>
    <w:p/>
    <w:p/>
    <w:p/>
    <w:p/>
    <w:p/>
    <w:p/>
    <w:p/>
    <w:p/>
    <w:p/>
    <w:p/>
    <w:p>
      <w:r>
        <w:rPr>
          <w:rFonts w:ascii="宋体" w:hAnsi="宋体" w:eastAsia="宋体"/>
        </w:rPr>
        <w:t xml:space="preserve">    祝语 :请切记，不要抱怨朋友们，这样对自己很不好，试问我们自己又给了朋友们多少帮助和关心？人生一次，最难得的是知心朋友，我们应该珍惜此生能有做朋友的缘份。要记住朋友对我们好。要多加理解和体谅朋友们，这样我们的心情才会快乐得多，幸福得多。</w:t>
      </w:r>
    </w:p>
    <w:sectPr>
      <w:pgSz w:w="11900" w:h="16840" w:orient="portrait"/>
      <w:cols w:equalWidth="0" w:num="1">
        <w:col w:w="9024"/>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06" w:usb3="00000000" w:csb0="00040001" w:csb1="00000000"/>
  </w:font>
  <w:font w:name="Courier New">
    <w:panose1 w:val="02070309020205020404"/>
    <w:charset w:val="00"/>
    <w:family w:val="modern"/>
    <w:pitch w:val="fixed"/>
    <w:sig w:usb0="E0002AFF" w:usb1="C0007843" w:usb2="00000009" w:usb3="00000000" w:csb0="400001FF" w:csb1="FFFF0000"/>
  </w:font>
</w:fonts>
</file>

<file path=word/numbering.xml><?xml version="1.0" encoding="utf-8"?>
<w:numbering xmlns:w="http://schemas.openxmlformats.org/wordprocessingml/2006/main">
  <w:abstractNum w:abstractNumId="0">
    <w:nsid w:val="153C"/>
    <w:multiLevelType w:val="hybridMultilevel"/>
    <w:lvl w:ilvl="0">
      <w:lvlJc w:val="left"/>
      <w:lvlText w:val="%1."/>
      <w:numFmt w:val="decimal"/>
      <w:start w:val="1"/>
    </w:lvl>
  </w:abstractNum>
  <w:abstractNum w:abstractNumId="1">
    <w:nsid w:val="7E87"/>
    <w:multiLevelType w:val="hybridMultilevel"/>
    <w:lvl w:ilvl="0">
      <w:lvlJc w:val="left"/>
      <w:lvlText w:val="%1."/>
      <w:numFmt w:val="decimal"/>
      <w:start w:val="1"/>
    </w:lvl>
  </w:abstractNum>
  <w:abstractNum w:abstractNumId="2">
    <w:nsid w:val="390C"/>
    <w:multiLevelType w:val="hybridMultilevel"/>
    <w:lvl w:ilvl="0">
      <w:lvlJc w:val="left"/>
      <w:lvlText w:val="%1."/>
      <w:numFmt w:val="decimal"/>
      <w:start w:val="3"/>
    </w:lvl>
  </w:abstractNum>
  <w:abstractNum w:abstractNumId="3">
    <w:nsid w:val="F3E"/>
    <w:multiLevelType w:val="hybridMultilevel"/>
    <w:lvl w:ilvl="0">
      <w:lvlJc w:val="left"/>
      <w:lvlText w:val="%1."/>
      <w:numFmt w:val="decimal"/>
      <w:start w:val="1"/>
    </w:lvl>
  </w:abstractNum>
  <w:abstractNum w:abstractNumId="4">
    <w:nsid w:val="99"/>
    <w:multiLevelType w:val="hybridMultilevel"/>
    <w:lvl w:ilvl="0">
      <w:lvlJc w:val="left"/>
      <w:lvlText w:val="%1."/>
      <w:numFmt w:val="decimal"/>
      <w:start w:val="4"/>
    </w:lvl>
  </w:abstractNum>
  <w:abstractNum w:abstractNumId="5">
    <w:nsid w:val="124"/>
    <w:multiLevelType w:val="hybridMultilevel"/>
    <w:lvl w:ilvl="0">
      <w:lvlJc w:val="left"/>
      <w:lvlText w:val="%1."/>
      <w:numFmt w:val="decimal"/>
      <w:start w:val="3"/>
    </w:lvl>
  </w:abstractNum>
  <w:abstractNum w:abstractNumId="6">
    <w:nsid w:val="305E"/>
    <w:multiLevelType w:val="hybridMultilevel"/>
    <w:lvl w:ilvl="0">
      <w:lvlJc w:val="left"/>
      <w:lvlText w:val="%1."/>
      <w:numFmt w:val="decimal"/>
      <w:start w:val="1"/>
    </w:lvl>
  </w:abstractNum>
  <w:abstractNum w:abstractNumId="7">
    <w:nsid w:val="440D"/>
    <w:multiLevelType w:val="hybridMultilevel"/>
    <w:lvl w:ilvl="0">
      <w:lvlJc w:val="left"/>
      <w:lvlText w:val="%1."/>
      <w:numFmt w:val="decimal"/>
      <w:start w:val="2"/>
    </w:lvl>
  </w:abstractNum>
  <w:abstractNum w:abstractNumId="8">
    <w:nsid w:val="491C"/>
    <w:multiLevelType w:val="hybridMultilevel"/>
    <w:lvl w:ilvl="0">
      <w:lvlJc w:val="left"/>
      <w:lvlText w:val="%1."/>
      <w:numFmt w:val="decimal"/>
      <w:start w:val="5"/>
    </w:lvl>
  </w:abstractNum>
  <w:abstractNum w:abstractNumId="9">
    <w:nsid w:val="4D06"/>
    <w:multiLevelType w:val="hybridMultilevel"/>
    <w:lvl w:ilvl="0">
      <w:lvlJc w:val="left"/>
      <w:lvlText w:val="%1."/>
      <w:numFmt w:val="decimal"/>
      <w:start w:val="3"/>
    </w:lvl>
  </w:abstractNum>
  <w:abstractNum w:abstractNumId="10">
    <w:nsid w:val="4DB7"/>
    <w:multiLevelType w:val="hybridMultilevel"/>
    <w:lvl w:ilvl="0">
      <w:lvlJc w:val="left"/>
      <w:lvlText w:val="%1."/>
      <w:numFmt w:val="decimal"/>
      <w:start w:val="5"/>
    </w:lvl>
  </w:abstractNum>
  <w:abstractNum w:abstractNumId="11">
    <w:nsid w:val="1547"/>
    <w:multiLevelType w:val="hybridMultilevel"/>
    <w:lvl w:ilvl="0">
      <w:lvlJc w:val="left"/>
      <w:lvlText w:val="%1."/>
      <w:numFmt w:val="decimal"/>
      <w:start w:val="1"/>
    </w:lvl>
  </w:abstractNum>
  <w:abstractNum w:abstractNumId="12">
    <w:nsid w:val="54DE"/>
    <w:multiLevelType w:val="hybridMultilevel"/>
    <w:lvl w:ilvl="0">
      <w:lvlJc w:val="left"/>
      <w:lvlText w:val="%1."/>
      <w:numFmt w:val="decimal"/>
      <w:start w:val="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2019-07-17T19:10:28Z</dcterms:created>
  <dcterms:modified xsi:type="dcterms:W3CDTF">2019-07-17T19:10:28Z</dcterms:modified>
</cp:coreProperties>
</file>